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3539"/>
        <w:gridCol w:w="8789"/>
        <w:gridCol w:w="8505"/>
      </w:tblGrid>
      <w:tr w:rsidR="00487440" w:rsidRPr="00304604" w:rsidTr="00D00814">
        <w:trPr>
          <w:trHeight w:val="410"/>
          <w:tblHeader/>
        </w:trPr>
        <w:tc>
          <w:tcPr>
            <w:tcW w:w="3539" w:type="dxa"/>
            <w:shd w:val="clear" w:color="auto" w:fill="002060"/>
            <w:vAlign w:val="center"/>
          </w:tcPr>
          <w:p w:rsidR="00487440" w:rsidRPr="00304604" w:rsidRDefault="00CD3B13" w:rsidP="00487440">
            <w:pPr>
              <w:spacing w:after="0"/>
              <w:jc w:val="center"/>
              <w:rPr>
                <w:rFonts w:ascii="Lato" w:hAnsi="Lato"/>
                <w:b/>
                <w:color w:val="FFFFFF" w:themeColor="background1"/>
                <w:sz w:val="20"/>
                <w:szCs w:val="20"/>
              </w:rPr>
            </w:pPr>
            <w:bookmarkStart w:id="0" w:name="_GoBack"/>
            <w:bookmarkEnd w:id="0"/>
            <w:r w:rsidRPr="00304604">
              <w:rPr>
                <w:rFonts w:ascii="Lato" w:hAnsi="Lato"/>
                <w:b/>
                <w:color w:val="FFFFFF" w:themeColor="background1"/>
                <w:sz w:val="20"/>
                <w:szCs w:val="20"/>
              </w:rPr>
              <w:t>Loss exclusion</w:t>
            </w:r>
          </w:p>
        </w:tc>
        <w:tc>
          <w:tcPr>
            <w:tcW w:w="8789" w:type="dxa"/>
            <w:shd w:val="clear" w:color="auto" w:fill="002060"/>
            <w:vAlign w:val="center"/>
          </w:tcPr>
          <w:p w:rsidR="00487440" w:rsidRPr="00304604" w:rsidRDefault="00CD3B13" w:rsidP="00487440">
            <w:pPr>
              <w:spacing w:after="0"/>
              <w:jc w:val="center"/>
              <w:rPr>
                <w:rFonts w:ascii="Lato" w:hAnsi="Lato"/>
                <w:b/>
                <w:color w:val="FFFFFF" w:themeColor="background1"/>
                <w:sz w:val="20"/>
                <w:szCs w:val="20"/>
              </w:rPr>
            </w:pPr>
            <w:r w:rsidRPr="00304604">
              <w:rPr>
                <w:rFonts w:ascii="Lato" w:hAnsi="Lato"/>
                <w:b/>
                <w:color w:val="FFFFFF" w:themeColor="background1"/>
                <w:sz w:val="20"/>
                <w:szCs w:val="20"/>
              </w:rPr>
              <w:t>What policy or procedure applies?</w:t>
            </w:r>
          </w:p>
        </w:tc>
        <w:tc>
          <w:tcPr>
            <w:tcW w:w="8505" w:type="dxa"/>
            <w:shd w:val="clear" w:color="auto" w:fill="002060"/>
            <w:vAlign w:val="center"/>
          </w:tcPr>
          <w:p w:rsidR="00487440" w:rsidRPr="00304604" w:rsidRDefault="00CD3B13" w:rsidP="00487440">
            <w:pPr>
              <w:spacing w:after="0"/>
              <w:jc w:val="center"/>
              <w:rPr>
                <w:rFonts w:ascii="Lato" w:hAnsi="Lato"/>
                <w:b/>
                <w:color w:val="FFFFFF" w:themeColor="background1"/>
                <w:sz w:val="20"/>
                <w:szCs w:val="20"/>
              </w:rPr>
            </w:pPr>
            <w:r w:rsidRPr="00304604">
              <w:rPr>
                <w:rFonts w:ascii="Lato" w:hAnsi="Lato"/>
                <w:b/>
                <w:color w:val="FFFFFF" w:themeColor="background1"/>
                <w:sz w:val="20"/>
                <w:szCs w:val="20"/>
              </w:rPr>
              <w:t>Additional information</w:t>
            </w:r>
          </w:p>
        </w:tc>
      </w:tr>
      <w:tr w:rsidR="00487440" w:rsidRPr="00304604" w:rsidTr="006679EA">
        <w:trPr>
          <w:trHeight w:val="1224"/>
        </w:trPr>
        <w:tc>
          <w:tcPr>
            <w:tcW w:w="3539" w:type="dxa"/>
          </w:tcPr>
          <w:p w:rsidR="00487440" w:rsidRPr="00A81270" w:rsidRDefault="00CD3B13" w:rsidP="00A81270">
            <w:pPr>
              <w:rPr>
                <w:rFonts w:ascii="Lato" w:hAnsi="Lato"/>
                <w:b/>
                <w:color w:val="002060"/>
                <w:sz w:val="20"/>
                <w:szCs w:val="20"/>
              </w:rPr>
            </w:pPr>
            <w:r w:rsidRPr="00A81270">
              <w:rPr>
                <w:rFonts w:ascii="Lato" w:hAnsi="Lato"/>
                <w:b/>
                <w:color w:val="002060"/>
                <w:sz w:val="20"/>
                <w:szCs w:val="20"/>
              </w:rPr>
              <w:t>Investments, loans, placements acquired and borrowings entered into by the Northern Territory Treasury Corporation (NTTC) on behalf of the Territory for liquidity management purposes</w:t>
            </w:r>
          </w:p>
        </w:tc>
        <w:tc>
          <w:tcPr>
            <w:tcW w:w="8789" w:type="dxa"/>
          </w:tcPr>
          <w:p w:rsidR="00487440" w:rsidRPr="00304604" w:rsidRDefault="00CD3B13" w:rsidP="00CD3B13">
            <w:pPr>
              <w:rPr>
                <w:rFonts w:ascii="Lato" w:hAnsi="Lato"/>
                <w:sz w:val="20"/>
                <w:szCs w:val="20"/>
                <w:shd w:val="clear" w:color="auto" w:fill="FFFFFF"/>
              </w:rPr>
            </w:pPr>
            <w:r w:rsidRPr="00304604">
              <w:rPr>
                <w:rFonts w:ascii="Lato" w:hAnsi="Lato"/>
                <w:sz w:val="20"/>
                <w:szCs w:val="20"/>
                <w:shd w:val="clear" w:color="auto" w:fill="FFFFFF"/>
              </w:rPr>
              <w:t>The NTTC has internal policies and procedures that assist NTTC in exercising its powers and meetings its functions and duties. It also has its own Advisory Board to assist the Under Treasurer with issues relating to NTTC’s operations. Losses related to investments and borrowings entered into by NTTC should be managed in accordance with its internal policies and procedures.</w:t>
            </w:r>
          </w:p>
        </w:tc>
        <w:tc>
          <w:tcPr>
            <w:tcW w:w="8505" w:type="dxa"/>
          </w:tcPr>
          <w:p w:rsidR="00CD3B13" w:rsidRPr="00304604" w:rsidRDefault="00CD3B13" w:rsidP="00CD3B13">
            <w:pPr>
              <w:ind w:left="40"/>
              <w:rPr>
                <w:rFonts w:ascii="Lato" w:hAnsi="Lato"/>
                <w:sz w:val="20"/>
                <w:szCs w:val="20"/>
              </w:rPr>
            </w:pPr>
            <w:r w:rsidRPr="00304604">
              <w:rPr>
                <w:rFonts w:ascii="Lato" w:hAnsi="Lato"/>
                <w:sz w:val="20"/>
                <w:szCs w:val="20"/>
                <w:lang w:eastAsia="en-AU"/>
              </w:rPr>
              <w:t xml:space="preserve">The Northern Territory Treasury Corporation (NTTC) </w:t>
            </w:r>
            <w:r w:rsidRPr="00304604">
              <w:rPr>
                <w:rFonts w:ascii="Lato" w:hAnsi="Lato"/>
                <w:sz w:val="20"/>
                <w:szCs w:val="20"/>
                <w:shd w:val="clear" w:color="auto" w:fill="FFFFFF"/>
              </w:rPr>
              <w:t>was established and constituted under the</w:t>
            </w:r>
            <w:r w:rsidRPr="00304604">
              <w:rPr>
                <w:rFonts w:ascii="Lato" w:hAnsi="Lato"/>
                <w:color w:val="333333"/>
                <w:sz w:val="20"/>
                <w:szCs w:val="20"/>
                <w:shd w:val="clear" w:color="auto" w:fill="FFFFFF"/>
              </w:rPr>
              <w:t> </w:t>
            </w:r>
            <w:hyperlink r:id="rId8" w:tgtFrame="_blank" w:tooltip="NORTHERN TERRITORY TREASURY CORPORATION ACT 1994" w:history="1">
              <w:r w:rsidRPr="00304604">
                <w:rPr>
                  <w:rStyle w:val="Hyperlink"/>
                  <w:rFonts w:ascii="Lato" w:hAnsi="Lato"/>
                  <w:i/>
                  <w:color w:val="337AB7"/>
                  <w:sz w:val="20"/>
                  <w:szCs w:val="20"/>
                  <w:shd w:val="clear" w:color="auto" w:fill="FFFFFF"/>
                </w:rPr>
                <w:t>Northern Territory Treasury Corporation Act 1994</w:t>
              </w:r>
            </w:hyperlink>
            <w:r w:rsidRPr="00304604">
              <w:rPr>
                <w:rFonts w:ascii="Lato" w:hAnsi="Lato"/>
                <w:sz w:val="20"/>
                <w:szCs w:val="20"/>
              </w:rPr>
              <w:t xml:space="preserve"> (the NTTC Act). </w:t>
            </w:r>
          </w:p>
          <w:p w:rsidR="00CD3B13" w:rsidRPr="00304604" w:rsidRDefault="00CD3B13" w:rsidP="00CD3B13">
            <w:pPr>
              <w:ind w:left="40"/>
              <w:rPr>
                <w:rFonts w:ascii="Lato" w:hAnsi="Lato"/>
                <w:sz w:val="20"/>
                <w:szCs w:val="20"/>
                <w:lang w:eastAsia="en-AU"/>
              </w:rPr>
            </w:pPr>
            <w:r w:rsidRPr="00304604">
              <w:rPr>
                <w:rFonts w:ascii="Lato" w:hAnsi="Lato"/>
                <w:sz w:val="20"/>
                <w:szCs w:val="20"/>
              </w:rPr>
              <w:t xml:space="preserve">It </w:t>
            </w:r>
            <w:r w:rsidRPr="00304604">
              <w:rPr>
                <w:rFonts w:ascii="Lato" w:hAnsi="Lato"/>
                <w:sz w:val="20"/>
                <w:szCs w:val="20"/>
                <w:lang w:eastAsia="en-AU"/>
              </w:rPr>
              <w:t>is the Territory’s independent central financing authority responsible for providing specialist financial services and advice by:</w:t>
            </w:r>
          </w:p>
          <w:p w:rsidR="00CD3B13" w:rsidRPr="00304604" w:rsidRDefault="00CD3B13" w:rsidP="00CD3B13">
            <w:pPr>
              <w:pStyle w:val="ListBullet"/>
              <w:numPr>
                <w:ilvl w:val="1"/>
                <w:numId w:val="37"/>
              </w:numPr>
              <w:ind w:left="40" w:firstLine="0"/>
              <w:rPr>
                <w:rFonts w:ascii="Lato" w:hAnsi="Lato"/>
                <w:sz w:val="20"/>
                <w:szCs w:val="20"/>
              </w:rPr>
            </w:pPr>
            <w:r w:rsidRPr="00304604">
              <w:rPr>
                <w:rFonts w:ascii="Lato" w:hAnsi="Lato"/>
                <w:sz w:val="20"/>
                <w:szCs w:val="20"/>
              </w:rPr>
              <w:t xml:space="preserve">undertaking sound borrowing and investing activities for the Territory Government </w:t>
            </w:r>
          </w:p>
          <w:p w:rsidR="00CD3B13" w:rsidRPr="00304604" w:rsidRDefault="00CD3B13" w:rsidP="00CD3B13">
            <w:pPr>
              <w:pStyle w:val="ListBullet"/>
              <w:numPr>
                <w:ilvl w:val="1"/>
                <w:numId w:val="37"/>
              </w:numPr>
              <w:ind w:left="40" w:firstLine="0"/>
              <w:rPr>
                <w:rFonts w:ascii="Lato" w:hAnsi="Lato"/>
                <w:sz w:val="20"/>
                <w:szCs w:val="20"/>
              </w:rPr>
            </w:pPr>
            <w:r w:rsidRPr="00304604">
              <w:rPr>
                <w:rFonts w:ascii="Lato" w:hAnsi="Lato"/>
                <w:sz w:val="20"/>
                <w:szCs w:val="20"/>
              </w:rPr>
              <w:t>investing surplus short-term cash balances of government accounts</w:t>
            </w:r>
          </w:p>
          <w:p w:rsidR="00487440" w:rsidRPr="00304604" w:rsidRDefault="00CD3B13" w:rsidP="00487440">
            <w:pPr>
              <w:pStyle w:val="ListBullet"/>
              <w:numPr>
                <w:ilvl w:val="1"/>
                <w:numId w:val="37"/>
              </w:numPr>
              <w:ind w:left="40" w:firstLine="0"/>
              <w:rPr>
                <w:rFonts w:ascii="Lato" w:hAnsi="Lato"/>
                <w:sz w:val="20"/>
                <w:szCs w:val="20"/>
              </w:rPr>
            </w:pPr>
            <w:r w:rsidRPr="00304604">
              <w:rPr>
                <w:rFonts w:ascii="Lato" w:hAnsi="Lato"/>
                <w:sz w:val="20"/>
                <w:szCs w:val="20"/>
              </w:rPr>
              <w:t xml:space="preserve">providing cost-efficient loans to its public sector clients and government agencies, government owned corporations and local authorities </w:t>
            </w:r>
          </w:p>
        </w:tc>
      </w:tr>
      <w:tr w:rsidR="00487440" w:rsidRPr="00304604" w:rsidTr="006679EA">
        <w:trPr>
          <w:trHeight w:val="2588"/>
        </w:trPr>
        <w:tc>
          <w:tcPr>
            <w:tcW w:w="3539" w:type="dxa"/>
          </w:tcPr>
          <w:p w:rsidR="00CD3B13" w:rsidRPr="00A81270" w:rsidRDefault="00CD3B13" w:rsidP="00A81270">
            <w:pPr>
              <w:rPr>
                <w:rFonts w:ascii="Lato" w:hAnsi="Lato"/>
                <w:b/>
                <w:color w:val="002060"/>
                <w:sz w:val="20"/>
                <w:szCs w:val="20"/>
              </w:rPr>
            </w:pPr>
            <w:r w:rsidRPr="00A81270">
              <w:rPr>
                <w:rFonts w:ascii="Lato" w:hAnsi="Lato"/>
                <w:b/>
                <w:color w:val="002060"/>
                <w:sz w:val="20"/>
                <w:szCs w:val="20"/>
              </w:rPr>
              <w:t>Equity investments acquired in accordance with TD – Equity investments</w:t>
            </w:r>
          </w:p>
          <w:p w:rsidR="00487440" w:rsidRPr="00304604" w:rsidRDefault="00487440" w:rsidP="00487440">
            <w:pPr>
              <w:rPr>
                <w:rFonts w:ascii="Lato" w:hAnsi="Lato"/>
                <w:sz w:val="20"/>
                <w:szCs w:val="20"/>
              </w:rPr>
            </w:pPr>
          </w:p>
        </w:tc>
        <w:tc>
          <w:tcPr>
            <w:tcW w:w="8789" w:type="dxa"/>
          </w:tcPr>
          <w:p w:rsidR="00CD3B13" w:rsidRPr="00304604" w:rsidRDefault="00CD3B13" w:rsidP="00304604">
            <w:pPr>
              <w:rPr>
                <w:rFonts w:ascii="Lato" w:hAnsi="Lato"/>
                <w:sz w:val="20"/>
                <w:szCs w:val="20"/>
                <w:shd w:val="clear" w:color="auto" w:fill="FFFFFF"/>
              </w:rPr>
            </w:pPr>
            <w:r w:rsidRPr="00304604">
              <w:rPr>
                <w:rFonts w:ascii="Lato" w:hAnsi="Lato"/>
                <w:sz w:val="20"/>
                <w:szCs w:val="20"/>
                <w:shd w:val="clear" w:color="auto" w:fill="FFFFFF"/>
              </w:rPr>
              <w:t>Agencies should manage losses related to equity investment</w:t>
            </w:r>
            <w:r w:rsidR="000C1DFE">
              <w:rPr>
                <w:rFonts w:ascii="Lato" w:hAnsi="Lato"/>
                <w:sz w:val="20"/>
                <w:szCs w:val="20"/>
                <w:shd w:val="clear" w:color="auto" w:fill="FFFFFF"/>
              </w:rPr>
              <w:t>s</w:t>
            </w:r>
            <w:r w:rsidRPr="00304604">
              <w:rPr>
                <w:rFonts w:ascii="Lato" w:hAnsi="Lato"/>
                <w:sz w:val="20"/>
                <w:szCs w:val="20"/>
                <w:shd w:val="clear" w:color="auto" w:fill="FFFFFF"/>
              </w:rPr>
              <w:t xml:space="preserve"> as part of the risk, monitoring and evaluation process conducted in accordance with </w:t>
            </w:r>
            <w:hyperlink r:id="rId9" w:history="1">
              <w:r w:rsidRPr="00D87D98">
                <w:rPr>
                  <w:rStyle w:val="Hyperlink"/>
                  <w:rFonts w:ascii="Lato" w:hAnsi="Lato"/>
                  <w:sz w:val="20"/>
                  <w:szCs w:val="20"/>
                  <w:shd w:val="clear" w:color="auto" w:fill="FFFFFF"/>
                </w:rPr>
                <w:t>TD – Equity investments</w:t>
              </w:r>
            </w:hyperlink>
            <w:r w:rsidRPr="00304604">
              <w:rPr>
                <w:rFonts w:ascii="Lato" w:hAnsi="Lato"/>
                <w:sz w:val="20"/>
                <w:szCs w:val="20"/>
                <w:shd w:val="clear" w:color="auto" w:fill="FFFFFF"/>
              </w:rPr>
              <w:t>.</w:t>
            </w:r>
          </w:p>
          <w:p w:rsidR="00487440" w:rsidRPr="00304604" w:rsidRDefault="00487440" w:rsidP="00CD3B13">
            <w:pPr>
              <w:tabs>
                <w:tab w:val="left" w:pos="7725"/>
              </w:tabs>
              <w:spacing w:before="120" w:after="240" w:line="276" w:lineRule="auto"/>
              <w:ind w:right="170"/>
              <w:contextualSpacing/>
              <w:jc w:val="both"/>
              <w:rPr>
                <w:rFonts w:ascii="Lato" w:hAnsi="Lato" w:cs="Arial"/>
                <w:sz w:val="20"/>
                <w:szCs w:val="20"/>
                <w:lang w:eastAsia="en-AU"/>
              </w:rPr>
            </w:pPr>
          </w:p>
        </w:tc>
        <w:tc>
          <w:tcPr>
            <w:tcW w:w="8505" w:type="dxa"/>
          </w:tcPr>
          <w:p w:rsidR="00CD3B13" w:rsidRPr="00304604" w:rsidRDefault="00E968DC" w:rsidP="00304604">
            <w:pPr>
              <w:ind w:left="324" w:hanging="284"/>
              <w:rPr>
                <w:rFonts w:ascii="Lato" w:hAnsi="Lato"/>
                <w:sz w:val="20"/>
                <w:szCs w:val="20"/>
                <w:shd w:val="clear" w:color="auto" w:fill="FFFFFF"/>
              </w:rPr>
            </w:pPr>
            <w:hyperlink r:id="rId10" w:history="1">
              <w:r w:rsidR="00CD3B13" w:rsidRPr="00304604">
                <w:rPr>
                  <w:rStyle w:val="Hyperlink"/>
                  <w:rFonts w:ascii="Lato" w:hAnsi="Lato"/>
                  <w:sz w:val="20"/>
                  <w:szCs w:val="20"/>
                  <w:shd w:val="clear" w:color="auto" w:fill="FFFFFF"/>
                </w:rPr>
                <w:t>TD – Equity investments</w:t>
              </w:r>
            </w:hyperlink>
            <w:r w:rsidR="00CD3B13" w:rsidRPr="00304604">
              <w:rPr>
                <w:rFonts w:ascii="Lato" w:hAnsi="Lato"/>
                <w:color w:val="333333"/>
                <w:sz w:val="20"/>
                <w:szCs w:val="20"/>
                <w:shd w:val="clear" w:color="auto" w:fill="FFFFFF"/>
              </w:rPr>
              <w:t xml:space="preserve"> </w:t>
            </w:r>
            <w:r w:rsidR="00CD3B13" w:rsidRPr="00304604">
              <w:rPr>
                <w:rFonts w:ascii="Lato" w:hAnsi="Lato"/>
                <w:sz w:val="20"/>
                <w:szCs w:val="20"/>
                <w:shd w:val="clear" w:color="auto" w:fill="FFFFFF"/>
              </w:rPr>
              <w:t>requires the accountable officer of an agency to:</w:t>
            </w:r>
          </w:p>
          <w:p w:rsidR="00CD3B13" w:rsidRPr="00304604" w:rsidRDefault="00CD3B13" w:rsidP="00304604">
            <w:pPr>
              <w:pStyle w:val="ListNumber2"/>
              <w:numPr>
                <w:ilvl w:val="0"/>
                <w:numId w:val="38"/>
              </w:numPr>
              <w:ind w:left="324" w:hanging="284"/>
              <w:rPr>
                <w:rFonts w:ascii="Lato" w:hAnsi="Lato"/>
                <w:sz w:val="20"/>
                <w:szCs w:val="20"/>
              </w:rPr>
            </w:pPr>
            <w:r w:rsidRPr="00304604">
              <w:rPr>
                <w:rFonts w:ascii="Lato" w:hAnsi="Lato"/>
                <w:sz w:val="20"/>
                <w:szCs w:val="20"/>
              </w:rPr>
              <w:t>conduct and document a risk assessment prior to following the approval process to determine if the risks assumed for an equity investment:</w:t>
            </w:r>
          </w:p>
          <w:p w:rsidR="00CD3B13" w:rsidRPr="00304604" w:rsidRDefault="00CD3B13" w:rsidP="00304604">
            <w:pPr>
              <w:pStyle w:val="ListNumber2"/>
              <w:numPr>
                <w:ilvl w:val="2"/>
                <w:numId w:val="39"/>
              </w:numPr>
              <w:ind w:left="607" w:hanging="141"/>
              <w:rPr>
                <w:rFonts w:ascii="Lato" w:hAnsi="Lato"/>
                <w:sz w:val="20"/>
                <w:szCs w:val="20"/>
              </w:rPr>
            </w:pPr>
            <w:bookmarkStart w:id="1" w:name="_Ref4404822"/>
            <w:r w:rsidRPr="00304604">
              <w:rPr>
                <w:rFonts w:ascii="Lato" w:hAnsi="Lato"/>
                <w:sz w:val="20"/>
                <w:szCs w:val="20"/>
              </w:rPr>
              <w:t>are commensurate with the objectives, scope and benefits of the equity investment</w:t>
            </w:r>
          </w:p>
          <w:p w:rsidR="00CD3B13" w:rsidRPr="00304604" w:rsidRDefault="00CD3B13" w:rsidP="00304604">
            <w:pPr>
              <w:pStyle w:val="ListNumber2"/>
              <w:numPr>
                <w:ilvl w:val="2"/>
                <w:numId w:val="39"/>
              </w:numPr>
              <w:ind w:left="607" w:hanging="141"/>
              <w:rPr>
                <w:rFonts w:ascii="Lato" w:hAnsi="Lato"/>
                <w:sz w:val="20"/>
                <w:szCs w:val="20"/>
              </w:rPr>
            </w:pPr>
            <w:r w:rsidRPr="00304604">
              <w:rPr>
                <w:rFonts w:ascii="Lato" w:hAnsi="Lato"/>
                <w:sz w:val="20"/>
                <w:szCs w:val="20"/>
              </w:rPr>
              <w:t xml:space="preserve">do not present unacceptable risk exposure to the </w:t>
            </w:r>
            <w:bookmarkEnd w:id="1"/>
            <w:r w:rsidRPr="00304604">
              <w:rPr>
                <w:rFonts w:ascii="Lato" w:hAnsi="Lato"/>
                <w:sz w:val="20"/>
                <w:szCs w:val="20"/>
              </w:rPr>
              <w:t>Territory.</w:t>
            </w:r>
          </w:p>
          <w:p w:rsidR="00CD3B13" w:rsidRPr="00304604" w:rsidRDefault="00CD3B13" w:rsidP="00304604">
            <w:pPr>
              <w:pStyle w:val="ListNumber2"/>
              <w:numPr>
                <w:ilvl w:val="0"/>
                <w:numId w:val="38"/>
              </w:numPr>
              <w:ind w:left="324" w:hanging="284"/>
              <w:rPr>
                <w:rFonts w:ascii="Lato" w:hAnsi="Lato"/>
                <w:sz w:val="20"/>
                <w:szCs w:val="20"/>
              </w:rPr>
            </w:pPr>
            <w:r w:rsidRPr="00304604">
              <w:rPr>
                <w:rFonts w:ascii="Lato" w:hAnsi="Lato"/>
                <w:sz w:val="20"/>
                <w:szCs w:val="20"/>
              </w:rPr>
              <w:t>monitor, evaluate and review at least once every financial year:</w:t>
            </w:r>
          </w:p>
          <w:p w:rsidR="00CD3B13" w:rsidRPr="00304604" w:rsidRDefault="00CD3B13" w:rsidP="00304604">
            <w:pPr>
              <w:pStyle w:val="ListNumber2"/>
              <w:numPr>
                <w:ilvl w:val="2"/>
                <w:numId w:val="40"/>
              </w:numPr>
              <w:ind w:left="607" w:hanging="141"/>
              <w:rPr>
                <w:rFonts w:ascii="Lato" w:hAnsi="Lato"/>
                <w:sz w:val="20"/>
                <w:szCs w:val="20"/>
              </w:rPr>
            </w:pPr>
            <w:r w:rsidRPr="00304604">
              <w:rPr>
                <w:rFonts w:ascii="Lato" w:hAnsi="Lato"/>
                <w:sz w:val="20"/>
                <w:szCs w:val="20"/>
              </w:rPr>
              <w:t>the performance of the investment, including recognition of any impairment losses</w:t>
            </w:r>
          </w:p>
          <w:p w:rsidR="00487440" w:rsidRPr="00304604" w:rsidRDefault="00CD3B13" w:rsidP="00304604">
            <w:pPr>
              <w:pStyle w:val="ListNumber2"/>
              <w:numPr>
                <w:ilvl w:val="2"/>
                <w:numId w:val="40"/>
              </w:numPr>
              <w:ind w:left="607" w:hanging="141"/>
              <w:rPr>
                <w:rFonts w:ascii="Lato" w:hAnsi="Lato"/>
                <w:sz w:val="20"/>
                <w:szCs w:val="20"/>
              </w:rPr>
            </w:pPr>
            <w:r w:rsidRPr="00304604">
              <w:rPr>
                <w:rFonts w:ascii="Lato" w:hAnsi="Lato"/>
                <w:sz w:val="20"/>
                <w:szCs w:val="20"/>
              </w:rPr>
              <w:t>the key risks to the future performance of the investment.</w:t>
            </w:r>
          </w:p>
        </w:tc>
      </w:tr>
      <w:tr w:rsidR="0002403B" w:rsidRPr="00304604" w:rsidTr="006679EA">
        <w:trPr>
          <w:trHeight w:val="2588"/>
        </w:trPr>
        <w:tc>
          <w:tcPr>
            <w:tcW w:w="3539" w:type="dxa"/>
          </w:tcPr>
          <w:p w:rsidR="00CD3B13" w:rsidRPr="00A81270" w:rsidRDefault="00CD3B13" w:rsidP="00A81270">
            <w:pPr>
              <w:rPr>
                <w:rFonts w:ascii="Lato" w:hAnsi="Lato"/>
                <w:b/>
                <w:color w:val="002060"/>
                <w:sz w:val="20"/>
                <w:szCs w:val="20"/>
              </w:rPr>
            </w:pPr>
            <w:r w:rsidRPr="00A81270">
              <w:rPr>
                <w:rFonts w:ascii="Lato" w:hAnsi="Lato"/>
                <w:b/>
                <w:color w:val="002060"/>
                <w:sz w:val="20"/>
                <w:szCs w:val="20"/>
              </w:rPr>
              <w:t>Revaluation of non-financial assets</w:t>
            </w:r>
          </w:p>
          <w:p w:rsidR="0002403B" w:rsidRPr="00304604" w:rsidRDefault="0002403B" w:rsidP="00487440">
            <w:pPr>
              <w:rPr>
                <w:rFonts w:ascii="Lato" w:hAnsi="Lato"/>
                <w:sz w:val="20"/>
                <w:szCs w:val="20"/>
              </w:rPr>
            </w:pPr>
          </w:p>
        </w:tc>
        <w:tc>
          <w:tcPr>
            <w:tcW w:w="8789" w:type="dxa"/>
          </w:tcPr>
          <w:p w:rsidR="00CD3B13" w:rsidRPr="00304604" w:rsidRDefault="00CD3B13" w:rsidP="00304604">
            <w:pPr>
              <w:rPr>
                <w:rFonts w:ascii="Lato" w:hAnsi="Lato"/>
                <w:sz w:val="20"/>
                <w:szCs w:val="20"/>
                <w:shd w:val="clear" w:color="auto" w:fill="FFFFFF"/>
              </w:rPr>
            </w:pPr>
            <w:r w:rsidRPr="00304604">
              <w:rPr>
                <w:rFonts w:ascii="Lato" w:hAnsi="Lato"/>
                <w:sz w:val="20"/>
                <w:szCs w:val="20"/>
                <w:shd w:val="clear" w:color="auto" w:fill="FFFFFF"/>
              </w:rPr>
              <w:t xml:space="preserve">Agencies should refer to TD on Property, plant and equipment and </w:t>
            </w:r>
            <w:hyperlink r:id="rId11" w:history="1">
              <w:r w:rsidRPr="00D87D98">
                <w:rPr>
                  <w:rStyle w:val="Hyperlink"/>
                  <w:rFonts w:ascii="Lato" w:hAnsi="Lato"/>
                  <w:sz w:val="20"/>
                  <w:szCs w:val="20"/>
                  <w:shd w:val="clear" w:color="auto" w:fill="FFFFFF"/>
                </w:rPr>
                <w:t>AASB 116</w:t>
              </w:r>
              <w:r w:rsidR="00D87D98" w:rsidRPr="00D87D98">
                <w:rPr>
                  <w:rStyle w:val="Hyperlink"/>
                  <w:rFonts w:ascii="Lato" w:hAnsi="Lato"/>
                  <w:sz w:val="20"/>
                  <w:szCs w:val="20"/>
                  <w:shd w:val="clear" w:color="auto" w:fill="FFFFFF"/>
                </w:rPr>
                <w:t xml:space="preserve"> Property, plant and equipment</w:t>
              </w:r>
            </w:hyperlink>
            <w:r w:rsidRPr="00304604">
              <w:rPr>
                <w:rFonts w:ascii="Lato" w:hAnsi="Lato"/>
                <w:sz w:val="20"/>
                <w:szCs w:val="20"/>
                <w:shd w:val="clear" w:color="auto" w:fill="FFFFFF"/>
              </w:rPr>
              <w:t xml:space="preserve"> for more information and guidance.</w:t>
            </w:r>
          </w:p>
          <w:p w:rsidR="00E04031" w:rsidRPr="00304604" w:rsidRDefault="00E04031" w:rsidP="00CD3B13">
            <w:pPr>
              <w:rPr>
                <w:rFonts w:ascii="Lato" w:hAnsi="Lato"/>
                <w:sz w:val="20"/>
                <w:szCs w:val="20"/>
              </w:rPr>
            </w:pPr>
          </w:p>
        </w:tc>
        <w:tc>
          <w:tcPr>
            <w:tcW w:w="8505" w:type="dxa"/>
          </w:tcPr>
          <w:p w:rsidR="00CD3B13" w:rsidRPr="00304604" w:rsidRDefault="00E968DC" w:rsidP="00304604">
            <w:pPr>
              <w:ind w:left="40"/>
              <w:rPr>
                <w:rFonts w:ascii="Lato" w:hAnsi="Lato"/>
                <w:sz w:val="20"/>
                <w:szCs w:val="20"/>
              </w:rPr>
            </w:pPr>
            <w:hyperlink r:id="rId12" w:history="1">
              <w:r w:rsidR="00CD3B13" w:rsidRPr="00304604">
                <w:rPr>
                  <w:rStyle w:val="Hyperlink"/>
                  <w:rFonts w:ascii="Lato" w:hAnsi="Lato"/>
                  <w:sz w:val="20"/>
                  <w:szCs w:val="20"/>
                </w:rPr>
                <w:t>AASB 116 Property, plant and equipment</w:t>
              </w:r>
            </w:hyperlink>
            <w:r w:rsidR="00CD3B13" w:rsidRPr="00304604">
              <w:rPr>
                <w:rFonts w:ascii="Lato" w:hAnsi="Lato"/>
                <w:sz w:val="20"/>
                <w:szCs w:val="20"/>
              </w:rPr>
              <w:t xml:space="preserve"> (AASB 116) allows entities to subsequently measure its property, plant and equipment using either cost or revaluation model.</w:t>
            </w:r>
          </w:p>
          <w:p w:rsidR="00CD3B13" w:rsidRPr="00304604" w:rsidRDefault="00CD3B13" w:rsidP="00304604">
            <w:pPr>
              <w:spacing w:after="120"/>
              <w:ind w:left="40"/>
              <w:rPr>
                <w:rFonts w:ascii="Lato" w:hAnsi="Lato"/>
                <w:sz w:val="20"/>
                <w:szCs w:val="20"/>
              </w:rPr>
            </w:pPr>
            <w:r w:rsidRPr="00304604">
              <w:rPr>
                <w:rFonts w:ascii="Lato" w:hAnsi="Lato"/>
                <w:sz w:val="20"/>
                <w:szCs w:val="20"/>
              </w:rPr>
              <w:t xml:space="preserve">In accordance with AASB 116: </w:t>
            </w:r>
          </w:p>
          <w:p w:rsidR="00CD3B13" w:rsidRPr="00304604" w:rsidRDefault="00CD3B13" w:rsidP="00304604">
            <w:pPr>
              <w:pStyle w:val="ListParagraph"/>
              <w:numPr>
                <w:ilvl w:val="0"/>
                <w:numId w:val="41"/>
              </w:numPr>
              <w:ind w:left="324" w:hanging="284"/>
              <w:rPr>
                <w:rFonts w:ascii="Lato" w:hAnsi="Lato"/>
                <w:sz w:val="20"/>
                <w:szCs w:val="20"/>
              </w:rPr>
            </w:pPr>
            <w:r w:rsidRPr="00304604">
              <w:rPr>
                <w:rFonts w:ascii="Lato" w:hAnsi="Lato"/>
                <w:sz w:val="20"/>
                <w:szCs w:val="20"/>
              </w:rPr>
              <w:t>When using the revaluation model, an item of property, plant and equipment whose fair value can be measured reliably shall be carried at a revalued amount, being its fair value at the date of the revaluation less any subsequent accumulated depreciation and subsequent accumulated impairment losses.</w:t>
            </w:r>
          </w:p>
          <w:p w:rsidR="00CD3B13" w:rsidRPr="00304604" w:rsidRDefault="00CD3B13" w:rsidP="00304604">
            <w:pPr>
              <w:pStyle w:val="ListParagraph"/>
              <w:numPr>
                <w:ilvl w:val="0"/>
                <w:numId w:val="41"/>
              </w:numPr>
              <w:ind w:left="324" w:hanging="284"/>
              <w:rPr>
                <w:rFonts w:ascii="Lato" w:hAnsi="Lato"/>
                <w:sz w:val="20"/>
                <w:szCs w:val="20"/>
              </w:rPr>
            </w:pPr>
            <w:r w:rsidRPr="00304604">
              <w:rPr>
                <w:rFonts w:ascii="Lato" w:hAnsi="Lato"/>
                <w:sz w:val="20"/>
                <w:szCs w:val="20"/>
              </w:rPr>
              <w:t xml:space="preserve">An asset’s carrying amount may increase or decrease as a result of revaluation. If an asset’s carrying amount is decreased, the decrease shall be recognised in profit or loss. However, the decrease shall be recognised in other comprehensive income to the extent of any credit balance existing in the revaluation surplus in respect of that asset. </w:t>
            </w:r>
          </w:p>
          <w:p w:rsidR="0002403B" w:rsidRPr="00304604" w:rsidRDefault="00CD3B13" w:rsidP="00772AE8">
            <w:pPr>
              <w:spacing w:after="120"/>
              <w:ind w:left="40"/>
              <w:rPr>
                <w:rFonts w:ascii="Lato" w:hAnsi="Lato"/>
                <w:sz w:val="20"/>
                <w:szCs w:val="20"/>
              </w:rPr>
            </w:pPr>
            <w:r w:rsidRPr="00304604">
              <w:rPr>
                <w:rFonts w:ascii="Lato" w:hAnsi="Lato"/>
                <w:sz w:val="20"/>
                <w:szCs w:val="20"/>
              </w:rPr>
              <w:t>The decrease in asset’s carrying amount as a result of re</w:t>
            </w:r>
            <w:r w:rsidR="00772AE8">
              <w:rPr>
                <w:rFonts w:ascii="Lato" w:hAnsi="Lato"/>
                <w:sz w:val="20"/>
                <w:szCs w:val="20"/>
              </w:rPr>
              <w:t xml:space="preserve">valuation is not covered by the </w:t>
            </w:r>
            <w:r w:rsidRPr="00304604">
              <w:rPr>
                <w:rFonts w:ascii="Lato" w:hAnsi="Lato"/>
                <w:sz w:val="20"/>
                <w:szCs w:val="20"/>
              </w:rPr>
              <w:t>requirements of TD – Losses, write offs, waivers and postponements.</w:t>
            </w:r>
          </w:p>
        </w:tc>
      </w:tr>
      <w:tr w:rsidR="00487440" w:rsidRPr="00304604" w:rsidTr="006679EA">
        <w:tc>
          <w:tcPr>
            <w:tcW w:w="3539" w:type="dxa"/>
          </w:tcPr>
          <w:p w:rsidR="00487440" w:rsidRPr="00A81270" w:rsidRDefault="00CD3B13" w:rsidP="006616CE">
            <w:pPr>
              <w:rPr>
                <w:rFonts w:ascii="Lato" w:hAnsi="Lato"/>
                <w:b/>
                <w:color w:val="002060"/>
                <w:sz w:val="20"/>
                <w:szCs w:val="20"/>
              </w:rPr>
            </w:pPr>
            <w:r w:rsidRPr="00A81270">
              <w:rPr>
                <w:rFonts w:ascii="Lato" w:hAnsi="Lato"/>
                <w:b/>
                <w:color w:val="002060"/>
                <w:sz w:val="20"/>
                <w:szCs w:val="20"/>
              </w:rPr>
              <w:t>Disposal of property made and approved in accordance with TD on Property, plant and equipment</w:t>
            </w:r>
          </w:p>
        </w:tc>
        <w:tc>
          <w:tcPr>
            <w:tcW w:w="8789" w:type="dxa"/>
          </w:tcPr>
          <w:p w:rsidR="00487440" w:rsidRPr="00304604" w:rsidRDefault="00CD3B13" w:rsidP="00304604">
            <w:pPr>
              <w:rPr>
                <w:rFonts w:ascii="Lato" w:hAnsi="Lato"/>
                <w:sz w:val="20"/>
                <w:szCs w:val="20"/>
              </w:rPr>
            </w:pPr>
            <w:r w:rsidRPr="00304604">
              <w:rPr>
                <w:rFonts w:ascii="Lato" w:hAnsi="Lato"/>
                <w:sz w:val="20"/>
                <w:szCs w:val="20"/>
                <w:shd w:val="clear" w:color="auto" w:fill="FFFFFF"/>
              </w:rPr>
              <w:t xml:space="preserve">Agencies should refer to the TD </w:t>
            </w:r>
            <w:r w:rsidR="002374A0" w:rsidRPr="00304604">
              <w:rPr>
                <w:rFonts w:ascii="Lato" w:hAnsi="Lato"/>
                <w:sz w:val="20"/>
                <w:szCs w:val="20"/>
              </w:rPr>
              <w:t xml:space="preserve">on Property, plant and equipment </w:t>
            </w:r>
            <w:r w:rsidRPr="00304604">
              <w:rPr>
                <w:rFonts w:ascii="Lato" w:hAnsi="Lato"/>
                <w:sz w:val="20"/>
                <w:szCs w:val="20"/>
                <w:shd w:val="clear" w:color="auto" w:fill="FFFFFF"/>
              </w:rPr>
              <w:t>for process and approval requirements for disposal of non-financial assets</w:t>
            </w:r>
            <w:r w:rsidR="002374A0">
              <w:rPr>
                <w:rFonts w:ascii="Lato" w:hAnsi="Lato"/>
                <w:sz w:val="20"/>
                <w:szCs w:val="20"/>
                <w:shd w:val="clear" w:color="auto" w:fill="FFFFFF"/>
              </w:rPr>
              <w:t xml:space="preserve"> </w:t>
            </w:r>
            <w:r w:rsidR="002374A0" w:rsidRPr="00304604">
              <w:rPr>
                <w:rFonts w:ascii="Lato" w:hAnsi="Lato"/>
                <w:sz w:val="20"/>
                <w:szCs w:val="20"/>
                <w:shd w:val="clear" w:color="auto" w:fill="FFFFFF"/>
              </w:rPr>
              <w:t>for more information and guidance</w:t>
            </w:r>
            <w:r w:rsidRPr="00304604">
              <w:rPr>
                <w:rFonts w:ascii="Lato" w:hAnsi="Lato"/>
                <w:sz w:val="20"/>
                <w:szCs w:val="20"/>
                <w:shd w:val="clear" w:color="auto" w:fill="FFFFFF"/>
              </w:rPr>
              <w:t>.</w:t>
            </w:r>
          </w:p>
        </w:tc>
        <w:tc>
          <w:tcPr>
            <w:tcW w:w="8505" w:type="dxa"/>
          </w:tcPr>
          <w:p w:rsidR="00487440" w:rsidRPr="00304604" w:rsidRDefault="00CD3B13" w:rsidP="00026B7B">
            <w:pPr>
              <w:rPr>
                <w:rFonts w:ascii="Lato" w:hAnsi="Lato"/>
                <w:sz w:val="20"/>
                <w:szCs w:val="20"/>
              </w:rPr>
            </w:pPr>
            <w:r w:rsidRPr="00304604">
              <w:rPr>
                <w:rFonts w:ascii="Lato" w:hAnsi="Lato"/>
                <w:sz w:val="20"/>
                <w:szCs w:val="20"/>
              </w:rPr>
              <w:t>TD on Property, plant and equipment sets the conditions and approval requirements for disposal of non-financial assets.</w:t>
            </w:r>
          </w:p>
        </w:tc>
      </w:tr>
      <w:tr w:rsidR="00293923" w:rsidRPr="00304604" w:rsidTr="006679EA">
        <w:tc>
          <w:tcPr>
            <w:tcW w:w="3539" w:type="dxa"/>
          </w:tcPr>
          <w:p w:rsidR="00293923" w:rsidRPr="00A81270" w:rsidRDefault="00CD3B13" w:rsidP="00A81270">
            <w:pPr>
              <w:rPr>
                <w:rFonts w:ascii="Lato" w:hAnsi="Lato"/>
                <w:b/>
                <w:color w:val="002060"/>
                <w:sz w:val="20"/>
                <w:szCs w:val="20"/>
              </w:rPr>
            </w:pPr>
            <w:bookmarkStart w:id="2" w:name="_Ref137736851"/>
            <w:r w:rsidRPr="00A81270">
              <w:rPr>
                <w:rFonts w:ascii="Lato" w:hAnsi="Lato"/>
                <w:b/>
                <w:color w:val="002060"/>
                <w:sz w:val="20"/>
                <w:szCs w:val="20"/>
              </w:rPr>
              <w:t>Impairment or write-down of non-financial assets or inventory due to change in market or economic conditions</w:t>
            </w:r>
            <w:bookmarkEnd w:id="2"/>
          </w:p>
        </w:tc>
        <w:tc>
          <w:tcPr>
            <w:tcW w:w="8789" w:type="dxa"/>
          </w:tcPr>
          <w:p w:rsidR="00CD3B13" w:rsidRPr="00304604" w:rsidRDefault="00CD3B13" w:rsidP="00304604">
            <w:pPr>
              <w:rPr>
                <w:rFonts w:ascii="Lato" w:hAnsi="Lato"/>
                <w:sz w:val="20"/>
                <w:szCs w:val="20"/>
              </w:rPr>
            </w:pPr>
            <w:r w:rsidRPr="00304604">
              <w:rPr>
                <w:rFonts w:ascii="Lato" w:hAnsi="Lato"/>
                <w:color w:val="333333"/>
                <w:sz w:val="20"/>
                <w:szCs w:val="20"/>
                <w:shd w:val="clear" w:color="auto" w:fill="FFFFFF"/>
              </w:rPr>
              <w:t xml:space="preserve">Agencies should refer to </w:t>
            </w:r>
            <w:r w:rsidRPr="00304604">
              <w:rPr>
                <w:rFonts w:ascii="Lato" w:hAnsi="Lato"/>
                <w:sz w:val="20"/>
                <w:szCs w:val="20"/>
              </w:rPr>
              <w:t xml:space="preserve">TD on Property, plant and equipment or </w:t>
            </w:r>
            <w:hyperlink r:id="rId13" w:history="1">
              <w:r w:rsidRPr="00304604">
                <w:rPr>
                  <w:rStyle w:val="Hyperlink"/>
                  <w:rFonts w:ascii="Lato" w:hAnsi="Lato"/>
                  <w:sz w:val="20"/>
                  <w:szCs w:val="20"/>
                  <w:shd w:val="clear" w:color="auto" w:fill="FFFFFF"/>
                </w:rPr>
                <w:t>TD – A2.8: Inventories</w:t>
              </w:r>
            </w:hyperlink>
            <w:r w:rsidRPr="00304604">
              <w:rPr>
                <w:rFonts w:ascii="Lato" w:hAnsi="Lato"/>
                <w:color w:val="333333"/>
                <w:sz w:val="20"/>
                <w:szCs w:val="20"/>
                <w:shd w:val="clear" w:color="auto" w:fill="FFFFFF"/>
              </w:rPr>
              <w:t xml:space="preserve"> for further information and guidance.</w:t>
            </w:r>
          </w:p>
          <w:p w:rsidR="00293923" w:rsidRPr="00304604" w:rsidRDefault="00293923" w:rsidP="00026B7B">
            <w:pPr>
              <w:spacing w:after="120"/>
              <w:rPr>
                <w:rFonts w:ascii="Lato" w:hAnsi="Lato"/>
                <w:sz w:val="20"/>
                <w:szCs w:val="20"/>
              </w:rPr>
            </w:pPr>
          </w:p>
        </w:tc>
        <w:tc>
          <w:tcPr>
            <w:tcW w:w="8505" w:type="dxa"/>
          </w:tcPr>
          <w:p w:rsidR="00CD3B13" w:rsidRPr="00304604" w:rsidRDefault="00CD3B13" w:rsidP="00304604">
            <w:pPr>
              <w:rPr>
                <w:rFonts w:ascii="Lato" w:hAnsi="Lato"/>
                <w:b/>
                <w:i/>
                <w:color w:val="808080" w:themeColor="background1" w:themeShade="80"/>
                <w:sz w:val="20"/>
                <w:szCs w:val="20"/>
                <w:shd w:val="clear" w:color="auto" w:fill="FFFFFF"/>
              </w:rPr>
            </w:pPr>
            <w:r w:rsidRPr="00304604">
              <w:rPr>
                <w:rFonts w:ascii="Lato" w:hAnsi="Lato"/>
                <w:b/>
                <w:i/>
                <w:color w:val="808080" w:themeColor="background1" w:themeShade="80"/>
                <w:sz w:val="20"/>
                <w:szCs w:val="20"/>
                <w:shd w:val="clear" w:color="auto" w:fill="FFFFFF"/>
              </w:rPr>
              <w:t>Impairment loss of non-financial assets</w:t>
            </w:r>
          </w:p>
          <w:p w:rsidR="00CD3B13" w:rsidRPr="00304604" w:rsidRDefault="00E968DC" w:rsidP="00304604">
            <w:pPr>
              <w:rPr>
                <w:rFonts w:ascii="Lato" w:hAnsi="Lato"/>
                <w:color w:val="333333"/>
                <w:sz w:val="20"/>
                <w:szCs w:val="20"/>
                <w:shd w:val="clear" w:color="auto" w:fill="FFFFFF"/>
              </w:rPr>
            </w:pPr>
            <w:hyperlink r:id="rId14" w:history="1">
              <w:r w:rsidR="00CD3B13" w:rsidRPr="00304604">
                <w:rPr>
                  <w:rStyle w:val="Hyperlink"/>
                  <w:rFonts w:ascii="Lato" w:hAnsi="Lato"/>
                  <w:sz w:val="20"/>
                  <w:szCs w:val="20"/>
                  <w:shd w:val="clear" w:color="auto" w:fill="FFFFFF"/>
                </w:rPr>
                <w:t>AASB 136 Impairment of assets</w:t>
              </w:r>
            </w:hyperlink>
            <w:r w:rsidR="00CD3B13" w:rsidRPr="00304604">
              <w:rPr>
                <w:rFonts w:ascii="Lato" w:hAnsi="Lato"/>
                <w:color w:val="333333"/>
                <w:sz w:val="20"/>
                <w:szCs w:val="20"/>
                <w:shd w:val="clear" w:color="auto" w:fill="FFFFFF"/>
              </w:rPr>
              <w:t xml:space="preserve"> (AASB 136) requires entities to assess at each reporting date whether there is any indication that an asset may be impaired. If such </w:t>
            </w:r>
            <w:r w:rsidR="000C1DFE">
              <w:rPr>
                <w:rFonts w:ascii="Lato" w:hAnsi="Lato"/>
                <w:color w:val="333333"/>
                <w:sz w:val="20"/>
                <w:szCs w:val="20"/>
                <w:shd w:val="clear" w:color="auto" w:fill="FFFFFF"/>
              </w:rPr>
              <w:t xml:space="preserve">an </w:t>
            </w:r>
            <w:r w:rsidR="00CD3B13" w:rsidRPr="00304604">
              <w:rPr>
                <w:rFonts w:ascii="Lato" w:hAnsi="Lato"/>
                <w:color w:val="333333"/>
                <w:sz w:val="20"/>
                <w:szCs w:val="20"/>
                <w:shd w:val="clear" w:color="auto" w:fill="FFFFFF"/>
              </w:rPr>
              <w:t xml:space="preserve">indication exists, the entity shall estimate the recoverable amount of the asset. When the carrying amount of the asset is greater than the recoverable amount, </w:t>
            </w:r>
            <w:r w:rsidR="000C1DFE">
              <w:rPr>
                <w:rFonts w:ascii="Lato" w:hAnsi="Lato"/>
                <w:color w:val="333333"/>
                <w:sz w:val="20"/>
                <w:szCs w:val="20"/>
                <w:shd w:val="clear" w:color="auto" w:fill="FFFFFF"/>
              </w:rPr>
              <w:t xml:space="preserve">an </w:t>
            </w:r>
            <w:r w:rsidR="00CD3B13" w:rsidRPr="00304604">
              <w:rPr>
                <w:rFonts w:ascii="Lato" w:hAnsi="Lato"/>
                <w:color w:val="333333"/>
                <w:sz w:val="20"/>
                <w:szCs w:val="20"/>
                <w:shd w:val="clear" w:color="auto" w:fill="FFFFFF"/>
              </w:rPr>
              <w:t>impairment loss on the non-financial asset should be recognised by the agency.</w:t>
            </w:r>
          </w:p>
          <w:p w:rsidR="00304604" w:rsidRDefault="00304604" w:rsidP="00A1689A">
            <w:pPr>
              <w:spacing w:before="120" w:after="0"/>
              <w:rPr>
                <w:rFonts w:ascii="Lato" w:hAnsi="Lato"/>
                <w:sz w:val="20"/>
                <w:szCs w:val="20"/>
              </w:rPr>
            </w:pPr>
            <w:r w:rsidRPr="00304604">
              <w:rPr>
                <w:rFonts w:ascii="Lato" w:hAnsi="Lato"/>
                <w:sz w:val="20"/>
                <w:szCs w:val="20"/>
              </w:rPr>
              <w:t xml:space="preserve">See table below for </w:t>
            </w:r>
            <w:r w:rsidR="000C1DFE">
              <w:rPr>
                <w:rFonts w:ascii="Lato" w:hAnsi="Lato"/>
                <w:sz w:val="20"/>
                <w:szCs w:val="20"/>
              </w:rPr>
              <w:t xml:space="preserve">minimum </w:t>
            </w:r>
            <w:r w:rsidRPr="00304604">
              <w:rPr>
                <w:rFonts w:ascii="Lato" w:hAnsi="Lato"/>
                <w:sz w:val="20"/>
                <w:szCs w:val="20"/>
              </w:rPr>
              <w:t xml:space="preserve">considerations in AASB 136 when assessing </w:t>
            </w:r>
            <w:r w:rsidR="000C1DFE">
              <w:rPr>
                <w:rFonts w:ascii="Lato" w:hAnsi="Lato"/>
                <w:sz w:val="20"/>
                <w:szCs w:val="20"/>
              </w:rPr>
              <w:t xml:space="preserve">the </w:t>
            </w:r>
            <w:r w:rsidRPr="00304604">
              <w:rPr>
                <w:rFonts w:ascii="Lato" w:hAnsi="Lato"/>
                <w:sz w:val="20"/>
                <w:szCs w:val="20"/>
              </w:rPr>
              <w:t>existence of impairment indicators:</w:t>
            </w:r>
          </w:p>
          <w:p w:rsidR="00A1689A" w:rsidRDefault="00A1689A" w:rsidP="00304604">
            <w:pPr>
              <w:spacing w:before="120"/>
              <w:rPr>
                <w:rFonts w:ascii="Lato" w:hAnsi="Lato"/>
                <w:sz w:val="20"/>
                <w:szCs w:val="20"/>
              </w:rPr>
            </w:pPr>
          </w:p>
          <w:p w:rsidR="00A1689A" w:rsidRDefault="00A1689A" w:rsidP="00A1689A">
            <w:pPr>
              <w:spacing w:before="120" w:after="0"/>
              <w:rPr>
                <w:rFonts w:ascii="Lato" w:hAnsi="Lato"/>
                <w:sz w:val="20"/>
                <w:szCs w:val="20"/>
              </w:rPr>
            </w:pPr>
          </w:p>
          <w:tbl>
            <w:tblPr>
              <w:tblStyle w:val="NTGtable1"/>
              <w:tblW w:w="0" w:type="auto"/>
              <w:tblLook w:val="04A0" w:firstRow="1" w:lastRow="0" w:firstColumn="1" w:lastColumn="0" w:noHBand="0" w:noVBand="1"/>
            </w:tblPr>
            <w:tblGrid>
              <w:gridCol w:w="4013"/>
              <w:gridCol w:w="4266"/>
            </w:tblGrid>
            <w:tr w:rsidR="00A1689A" w:rsidRPr="00175C90" w:rsidTr="00D863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51" w:type="dxa"/>
                </w:tcPr>
                <w:p w:rsidR="00A1689A" w:rsidRPr="00175C90" w:rsidRDefault="00A1689A" w:rsidP="00A1689A">
                  <w:pPr>
                    <w:rPr>
                      <w:sz w:val="20"/>
                      <w:szCs w:val="20"/>
                    </w:rPr>
                  </w:pPr>
                  <w:r w:rsidRPr="00175C90">
                    <w:rPr>
                      <w:sz w:val="20"/>
                      <w:szCs w:val="20"/>
                    </w:rPr>
                    <w:lastRenderedPageBreak/>
                    <w:t>Type of source</w:t>
                  </w:r>
                </w:p>
              </w:tc>
              <w:tc>
                <w:tcPr>
                  <w:tcW w:w="5074" w:type="dxa"/>
                </w:tcPr>
                <w:p w:rsidR="00A1689A" w:rsidRPr="00175C90" w:rsidRDefault="00A1689A" w:rsidP="00A1689A">
                  <w:pPr>
                    <w:cnfStyle w:val="100000000000" w:firstRow="1" w:lastRow="0" w:firstColumn="0" w:lastColumn="0" w:oddVBand="0" w:evenVBand="0" w:oddHBand="0" w:evenHBand="0" w:firstRowFirstColumn="0" w:firstRowLastColumn="0" w:lastRowFirstColumn="0" w:lastRowLastColumn="0"/>
                    <w:rPr>
                      <w:sz w:val="20"/>
                      <w:szCs w:val="20"/>
                    </w:rPr>
                  </w:pPr>
                  <w:r w:rsidRPr="00175C90">
                    <w:rPr>
                      <w:sz w:val="20"/>
                      <w:szCs w:val="20"/>
                    </w:rPr>
                    <w:t>Examples</w:t>
                  </w:r>
                </w:p>
              </w:tc>
            </w:tr>
            <w:tr w:rsidR="00A1689A" w:rsidRPr="00A86F1E" w:rsidTr="00D8630C">
              <w:tc>
                <w:tcPr>
                  <w:cnfStyle w:val="001000000000" w:firstRow="0" w:lastRow="0" w:firstColumn="1" w:lastColumn="0" w:oddVBand="0" w:evenVBand="0" w:oddHBand="0" w:evenHBand="0" w:firstRowFirstColumn="0" w:firstRowLastColumn="0" w:lastRowFirstColumn="0" w:lastRowLastColumn="0"/>
                  <w:tcW w:w="5051" w:type="dxa"/>
                  <w:vAlign w:val="top"/>
                </w:tcPr>
                <w:p w:rsidR="00A1689A" w:rsidRPr="00772AE8" w:rsidRDefault="00A1689A" w:rsidP="00A1689A">
                  <w:pPr>
                    <w:rPr>
                      <w:sz w:val="20"/>
                      <w:szCs w:val="20"/>
                    </w:rPr>
                  </w:pPr>
                  <w:r w:rsidRPr="00772AE8">
                    <w:rPr>
                      <w:sz w:val="20"/>
                      <w:szCs w:val="20"/>
                    </w:rPr>
                    <w:t>External sources</w:t>
                  </w:r>
                </w:p>
              </w:tc>
              <w:tc>
                <w:tcPr>
                  <w:tcW w:w="5074" w:type="dxa"/>
                </w:tcPr>
                <w:p w:rsidR="00862F70" w:rsidRPr="00772AE8" w:rsidRDefault="000C1DFE" w:rsidP="00862F70">
                  <w:pPr>
                    <w:spacing w:after="0"/>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AU"/>
                    </w:rPr>
                  </w:pPr>
                  <w:r w:rsidRPr="00772AE8">
                    <w:rPr>
                      <w:rFonts w:eastAsia="Times New Roman"/>
                      <w:sz w:val="20"/>
                      <w:szCs w:val="20"/>
                      <w:lang w:eastAsia="en-AU"/>
                    </w:rPr>
                    <w:t>Evidence exists that:</w:t>
                  </w:r>
                </w:p>
                <w:p w:rsidR="00862F70" w:rsidRPr="00772AE8" w:rsidRDefault="00862F70" w:rsidP="00A1689A">
                  <w:pPr>
                    <w:pStyle w:val="ListParagraph"/>
                    <w:numPr>
                      <w:ilvl w:val="0"/>
                      <w:numId w:val="41"/>
                    </w:numPr>
                    <w:spacing w:after="0"/>
                    <w:ind w:left="286" w:hanging="283"/>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AU"/>
                    </w:rPr>
                  </w:pPr>
                  <w:r w:rsidRPr="00772AE8">
                    <w:rPr>
                      <w:rFonts w:eastAsia="Times New Roman"/>
                      <w:sz w:val="20"/>
                      <w:szCs w:val="20"/>
                      <w:lang w:eastAsia="en-AU"/>
                    </w:rPr>
                    <w:t>the replacement cost (purchase cost or construction cost) has declined significantly (for assets valued at current replacement cost)</w:t>
                  </w:r>
                </w:p>
                <w:p w:rsidR="000C1DFE" w:rsidRPr="00772AE8" w:rsidRDefault="000C1DFE" w:rsidP="00A1689A">
                  <w:pPr>
                    <w:pStyle w:val="ListParagraph"/>
                    <w:numPr>
                      <w:ilvl w:val="0"/>
                      <w:numId w:val="41"/>
                    </w:numPr>
                    <w:spacing w:after="0"/>
                    <w:ind w:left="286" w:hanging="283"/>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AU"/>
                    </w:rPr>
                  </w:pPr>
                  <w:r w:rsidRPr="00772AE8">
                    <w:rPr>
                      <w:rFonts w:eastAsia="Times New Roman"/>
                      <w:sz w:val="20"/>
                      <w:szCs w:val="20"/>
                      <w:lang w:eastAsia="en-AU"/>
                    </w:rPr>
                    <w:t xml:space="preserve">an asset's market value (or fair value) has declined significantly more than would be expected as a result of normal use </w:t>
                  </w:r>
                </w:p>
                <w:p w:rsidR="00862F70" w:rsidRPr="00772AE8" w:rsidRDefault="00862F70" w:rsidP="00862F70">
                  <w:pPr>
                    <w:pStyle w:val="ListParagraph"/>
                    <w:numPr>
                      <w:ilvl w:val="0"/>
                      <w:numId w:val="41"/>
                    </w:numPr>
                    <w:spacing w:after="0"/>
                    <w:ind w:left="286" w:hanging="283"/>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AU"/>
                    </w:rPr>
                  </w:pPr>
                  <w:r w:rsidRPr="00772AE8">
                    <w:rPr>
                      <w:rFonts w:eastAsia="Times New Roman"/>
                      <w:sz w:val="20"/>
                      <w:szCs w:val="20"/>
                      <w:lang w:eastAsia="en-AU"/>
                    </w:rPr>
                    <w:t xml:space="preserve">significant long-term changes in the technological environment or technology utilised by the agency has adverse effect on the agency, or </w:t>
                  </w:r>
                </w:p>
                <w:p w:rsidR="00A1689A" w:rsidRPr="00772AE8" w:rsidRDefault="00862F70" w:rsidP="00862F70">
                  <w:pPr>
                    <w:pStyle w:val="ListParagraph"/>
                    <w:numPr>
                      <w:ilvl w:val="0"/>
                      <w:numId w:val="41"/>
                    </w:numPr>
                    <w:ind w:left="290" w:hanging="284"/>
                    <w:cnfStyle w:val="000000000000" w:firstRow="0" w:lastRow="0" w:firstColumn="0" w:lastColumn="0" w:oddVBand="0" w:evenVBand="0" w:oddHBand="0" w:evenHBand="0" w:firstRowFirstColumn="0" w:firstRowLastColumn="0" w:lastRowFirstColumn="0" w:lastRowLastColumn="0"/>
                    <w:rPr>
                      <w:sz w:val="20"/>
                      <w:szCs w:val="20"/>
                    </w:rPr>
                  </w:pPr>
                  <w:proofErr w:type="gramStart"/>
                  <w:r w:rsidRPr="00772AE8">
                    <w:rPr>
                      <w:rFonts w:eastAsia="Times New Roman"/>
                      <w:sz w:val="20"/>
                      <w:szCs w:val="20"/>
                      <w:lang w:eastAsia="en-AU"/>
                    </w:rPr>
                    <w:t>significant</w:t>
                  </w:r>
                  <w:proofErr w:type="gramEnd"/>
                  <w:r w:rsidRPr="00772AE8">
                    <w:rPr>
                      <w:rFonts w:eastAsia="Times New Roman"/>
                      <w:sz w:val="20"/>
                      <w:szCs w:val="20"/>
                      <w:lang w:eastAsia="en-AU"/>
                    </w:rPr>
                    <w:t xml:space="preserve"> long-term changes in the legal or government policy environment with an adverse effect on the agency.</w:t>
                  </w:r>
                  <w:r w:rsidRPr="00772AE8">
                    <w:rPr>
                      <w:sz w:val="20"/>
                      <w:szCs w:val="20"/>
                    </w:rPr>
                    <w:t xml:space="preserve"> </w:t>
                  </w:r>
                </w:p>
              </w:tc>
            </w:tr>
            <w:tr w:rsidR="00A1689A" w:rsidRPr="00A86F1E" w:rsidTr="00D8630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51" w:type="dxa"/>
                  <w:vAlign w:val="top"/>
                </w:tcPr>
                <w:p w:rsidR="00A1689A" w:rsidRPr="00772AE8" w:rsidRDefault="00A1689A" w:rsidP="00A1689A">
                  <w:pPr>
                    <w:rPr>
                      <w:sz w:val="20"/>
                      <w:szCs w:val="20"/>
                    </w:rPr>
                  </w:pPr>
                  <w:r w:rsidRPr="00772AE8">
                    <w:rPr>
                      <w:sz w:val="20"/>
                      <w:szCs w:val="20"/>
                    </w:rPr>
                    <w:t>Internal sources</w:t>
                  </w:r>
                </w:p>
              </w:tc>
              <w:tc>
                <w:tcPr>
                  <w:tcW w:w="5074" w:type="dxa"/>
                </w:tcPr>
                <w:p w:rsidR="00862F70" w:rsidRPr="00772AE8" w:rsidRDefault="00862F70" w:rsidP="00862F70">
                  <w:pPr>
                    <w:spacing w:after="0"/>
                    <w:cnfStyle w:val="000000010000" w:firstRow="0" w:lastRow="0" w:firstColumn="0" w:lastColumn="0" w:oddVBand="0" w:evenVBand="0" w:oddHBand="0" w:evenHBand="1" w:firstRowFirstColumn="0" w:firstRowLastColumn="0" w:lastRowFirstColumn="0" w:lastRowLastColumn="0"/>
                    <w:rPr>
                      <w:rFonts w:eastAsia="Times New Roman"/>
                      <w:sz w:val="20"/>
                      <w:szCs w:val="20"/>
                      <w:lang w:eastAsia="en-AU"/>
                    </w:rPr>
                  </w:pPr>
                  <w:r w:rsidRPr="00772AE8">
                    <w:rPr>
                      <w:rFonts w:eastAsia="Times New Roman"/>
                      <w:sz w:val="20"/>
                      <w:szCs w:val="20"/>
                      <w:lang w:eastAsia="en-AU"/>
                    </w:rPr>
                    <w:t>E</w:t>
                  </w:r>
                  <w:r w:rsidR="000C1DFE" w:rsidRPr="00772AE8">
                    <w:rPr>
                      <w:rFonts w:eastAsia="Times New Roman"/>
                      <w:sz w:val="20"/>
                      <w:szCs w:val="20"/>
                      <w:lang w:eastAsia="en-AU"/>
                    </w:rPr>
                    <w:t xml:space="preserve">vidence </w:t>
                  </w:r>
                  <w:r w:rsidR="00423620" w:rsidRPr="00772AE8">
                    <w:rPr>
                      <w:rFonts w:eastAsia="Times New Roman"/>
                      <w:sz w:val="20"/>
                      <w:szCs w:val="20"/>
                      <w:lang w:eastAsia="en-AU"/>
                    </w:rPr>
                    <w:t>shows</w:t>
                  </w:r>
                  <w:r w:rsidRPr="00772AE8">
                    <w:rPr>
                      <w:rFonts w:eastAsia="Times New Roman"/>
                      <w:sz w:val="20"/>
                      <w:szCs w:val="20"/>
                      <w:lang w:eastAsia="en-AU"/>
                    </w:rPr>
                    <w:t>:</w:t>
                  </w:r>
                </w:p>
                <w:p w:rsidR="00A1689A" w:rsidRPr="00772AE8" w:rsidRDefault="000C1DFE" w:rsidP="00862F70">
                  <w:pPr>
                    <w:pStyle w:val="ListParagraph"/>
                    <w:numPr>
                      <w:ilvl w:val="0"/>
                      <w:numId w:val="41"/>
                    </w:numPr>
                    <w:spacing w:after="0"/>
                    <w:ind w:left="286" w:hanging="283"/>
                    <w:cnfStyle w:val="000000010000" w:firstRow="0" w:lastRow="0" w:firstColumn="0" w:lastColumn="0" w:oddVBand="0" w:evenVBand="0" w:oddHBand="0" w:evenHBand="1" w:firstRowFirstColumn="0" w:firstRowLastColumn="0" w:lastRowFirstColumn="0" w:lastRowLastColumn="0"/>
                    <w:rPr>
                      <w:rFonts w:eastAsia="Times New Roman"/>
                      <w:sz w:val="20"/>
                      <w:szCs w:val="20"/>
                      <w:lang w:eastAsia="en-AU"/>
                    </w:rPr>
                  </w:pPr>
                  <w:r w:rsidRPr="00772AE8">
                    <w:rPr>
                      <w:rFonts w:eastAsia="Times New Roman"/>
                      <w:sz w:val="20"/>
                      <w:szCs w:val="20"/>
                      <w:lang w:eastAsia="en-AU"/>
                    </w:rPr>
                    <w:t>obsolescence and or physical damage to an asset (excluding minor wear and tear, for example, damaged by fire, earthquake, flood, contamination)</w:t>
                  </w:r>
                </w:p>
                <w:p w:rsidR="00862F70" w:rsidRPr="00772AE8" w:rsidRDefault="00862F70" w:rsidP="00862F70">
                  <w:pPr>
                    <w:pStyle w:val="ListParagraph"/>
                    <w:numPr>
                      <w:ilvl w:val="0"/>
                      <w:numId w:val="41"/>
                    </w:numPr>
                    <w:spacing w:after="0"/>
                    <w:ind w:left="286" w:hanging="283"/>
                    <w:cnfStyle w:val="000000010000" w:firstRow="0" w:lastRow="0" w:firstColumn="0" w:lastColumn="0" w:oddVBand="0" w:evenVBand="0" w:oddHBand="0" w:evenHBand="1" w:firstRowFirstColumn="0" w:firstRowLastColumn="0" w:lastRowFirstColumn="0" w:lastRowLastColumn="0"/>
                    <w:rPr>
                      <w:rFonts w:eastAsia="Times New Roman"/>
                      <w:sz w:val="20"/>
                      <w:szCs w:val="20"/>
                      <w:lang w:eastAsia="en-AU"/>
                    </w:rPr>
                  </w:pPr>
                  <w:r w:rsidRPr="00772AE8">
                    <w:rPr>
                      <w:rFonts w:eastAsia="Times New Roman"/>
                      <w:sz w:val="20"/>
                      <w:szCs w:val="20"/>
                      <w:lang w:eastAsia="en-AU"/>
                    </w:rPr>
                    <w:t>an asset’s economic performance is, or will be, worse than expected based on internal reports</w:t>
                  </w:r>
                </w:p>
                <w:p w:rsidR="00862F70" w:rsidRPr="00772AE8" w:rsidRDefault="00862F70" w:rsidP="00A1689A">
                  <w:pPr>
                    <w:pStyle w:val="ListParagraph"/>
                    <w:numPr>
                      <w:ilvl w:val="0"/>
                      <w:numId w:val="41"/>
                    </w:numPr>
                    <w:spacing w:after="0"/>
                    <w:ind w:left="286" w:hanging="283"/>
                    <w:cnfStyle w:val="000000010000" w:firstRow="0" w:lastRow="0" w:firstColumn="0" w:lastColumn="0" w:oddVBand="0" w:evenVBand="0" w:oddHBand="0" w:evenHBand="1" w:firstRowFirstColumn="0" w:firstRowLastColumn="0" w:lastRowFirstColumn="0" w:lastRowLastColumn="0"/>
                    <w:rPr>
                      <w:rFonts w:eastAsia="Times New Roman"/>
                      <w:sz w:val="20"/>
                      <w:szCs w:val="20"/>
                      <w:lang w:eastAsia="en-AU"/>
                    </w:rPr>
                  </w:pPr>
                  <w:r w:rsidRPr="00772AE8">
                    <w:rPr>
                      <w:rFonts w:eastAsia="Times New Roman"/>
                      <w:sz w:val="20"/>
                      <w:szCs w:val="20"/>
                      <w:lang w:eastAsia="en-AU"/>
                    </w:rPr>
                    <w:t xml:space="preserve">a decision is made to halt the construction of the asset before it is complete or is in a usable condition </w:t>
                  </w:r>
                </w:p>
                <w:p w:rsidR="00862F70" w:rsidRPr="00772AE8" w:rsidRDefault="00862F70" w:rsidP="00A1689A">
                  <w:pPr>
                    <w:pStyle w:val="ListParagraph"/>
                    <w:numPr>
                      <w:ilvl w:val="0"/>
                      <w:numId w:val="41"/>
                    </w:numPr>
                    <w:spacing w:after="0"/>
                    <w:ind w:left="286" w:hanging="283"/>
                    <w:cnfStyle w:val="000000010000" w:firstRow="0" w:lastRow="0" w:firstColumn="0" w:lastColumn="0" w:oddVBand="0" w:evenVBand="0" w:oddHBand="0" w:evenHBand="1" w:firstRowFirstColumn="0" w:firstRowLastColumn="0" w:lastRowFirstColumn="0" w:lastRowLastColumn="0"/>
                    <w:rPr>
                      <w:rFonts w:eastAsia="Times New Roman"/>
                      <w:sz w:val="20"/>
                      <w:szCs w:val="20"/>
                      <w:lang w:eastAsia="en-AU"/>
                    </w:rPr>
                  </w:pPr>
                  <w:r w:rsidRPr="00772AE8">
                    <w:rPr>
                      <w:rFonts w:eastAsia="Times New Roman"/>
                      <w:sz w:val="20"/>
                      <w:szCs w:val="20"/>
                      <w:lang w:eastAsia="en-AU"/>
                    </w:rPr>
                    <w:t>cessation of the demand or need for services provided by the asset where the asset is not suitable for providing other services, or</w:t>
                  </w:r>
                </w:p>
                <w:p w:rsidR="00A1689A" w:rsidRPr="00772AE8" w:rsidRDefault="00862F70" w:rsidP="00862F70">
                  <w:pPr>
                    <w:pStyle w:val="ListParagraph"/>
                    <w:numPr>
                      <w:ilvl w:val="0"/>
                      <w:numId w:val="41"/>
                    </w:numPr>
                    <w:ind w:left="290" w:hanging="284"/>
                    <w:cnfStyle w:val="000000010000" w:firstRow="0" w:lastRow="0" w:firstColumn="0" w:lastColumn="0" w:oddVBand="0" w:evenVBand="0" w:oddHBand="0" w:evenHBand="1" w:firstRowFirstColumn="0" w:firstRowLastColumn="0" w:lastRowFirstColumn="0" w:lastRowLastColumn="0"/>
                    <w:rPr>
                      <w:rFonts w:eastAsia="Times New Roman"/>
                      <w:sz w:val="20"/>
                      <w:szCs w:val="20"/>
                      <w:lang w:eastAsia="en-AU"/>
                    </w:rPr>
                  </w:pPr>
                  <w:proofErr w:type="gramStart"/>
                  <w:r w:rsidRPr="00772AE8">
                    <w:rPr>
                      <w:rFonts w:eastAsia="Times New Roman"/>
                      <w:sz w:val="20"/>
                      <w:szCs w:val="20"/>
                      <w:lang w:eastAsia="en-AU"/>
                    </w:rPr>
                    <w:t>significant</w:t>
                  </w:r>
                  <w:proofErr w:type="gramEnd"/>
                  <w:r w:rsidRPr="00772AE8">
                    <w:rPr>
                      <w:rFonts w:eastAsia="Times New Roman"/>
                      <w:sz w:val="20"/>
                      <w:szCs w:val="20"/>
                      <w:lang w:eastAsia="en-AU"/>
                    </w:rPr>
                    <w:t xml:space="preserve"> long-term changes in the extent or manner in which an asset is used, or is expected to be used, with an adverse effect on the agency.</w:t>
                  </w:r>
                </w:p>
              </w:tc>
            </w:tr>
          </w:tbl>
          <w:p w:rsidR="00CD3B13" w:rsidRPr="00772AE8" w:rsidRDefault="00CD3B13" w:rsidP="00D00814">
            <w:pPr>
              <w:spacing w:before="120" w:after="120"/>
              <w:rPr>
                <w:rFonts w:ascii="Lato" w:hAnsi="Lato"/>
                <w:sz w:val="20"/>
                <w:szCs w:val="20"/>
              </w:rPr>
            </w:pPr>
            <w:r w:rsidRPr="00772AE8">
              <w:rPr>
                <w:rFonts w:ascii="Lato" w:hAnsi="Lato"/>
                <w:sz w:val="20"/>
                <w:szCs w:val="20"/>
              </w:rPr>
              <w:t xml:space="preserve">Where </w:t>
            </w:r>
            <w:r w:rsidR="00772AE8" w:rsidRPr="00772AE8">
              <w:rPr>
                <w:rFonts w:ascii="Lato" w:hAnsi="Lato"/>
                <w:sz w:val="20"/>
                <w:szCs w:val="20"/>
              </w:rPr>
              <w:t>an indicator</w:t>
            </w:r>
            <w:r w:rsidRPr="00772AE8">
              <w:rPr>
                <w:rFonts w:ascii="Lato" w:hAnsi="Lato"/>
                <w:sz w:val="20"/>
                <w:szCs w:val="20"/>
              </w:rPr>
              <w:t xml:space="preserve"> of impairment has been identified, an agency is required to determine </w:t>
            </w:r>
            <w:r w:rsidR="00772AE8" w:rsidRPr="00772AE8">
              <w:rPr>
                <w:rFonts w:ascii="Lato" w:hAnsi="Lato"/>
                <w:sz w:val="20"/>
                <w:szCs w:val="20"/>
              </w:rPr>
              <w:t xml:space="preserve">the </w:t>
            </w:r>
            <w:r w:rsidRPr="00772AE8">
              <w:rPr>
                <w:rFonts w:ascii="Lato" w:hAnsi="Lato"/>
                <w:sz w:val="20"/>
                <w:szCs w:val="20"/>
              </w:rPr>
              <w:t>assets</w:t>
            </w:r>
            <w:r w:rsidR="00B504FE" w:rsidRPr="00772AE8">
              <w:rPr>
                <w:rFonts w:ascii="Lato" w:hAnsi="Lato"/>
                <w:sz w:val="20"/>
                <w:szCs w:val="20"/>
              </w:rPr>
              <w:t xml:space="preserve"> recoverable amount and assess</w:t>
            </w:r>
            <w:r w:rsidRPr="00772AE8">
              <w:rPr>
                <w:rFonts w:ascii="Lato" w:hAnsi="Lato"/>
                <w:sz w:val="20"/>
                <w:szCs w:val="20"/>
              </w:rPr>
              <w:t xml:space="preserve"> if</w:t>
            </w:r>
            <w:r w:rsidR="00B504FE" w:rsidRPr="00772AE8">
              <w:rPr>
                <w:rFonts w:ascii="Lato" w:hAnsi="Lato"/>
                <w:sz w:val="20"/>
                <w:szCs w:val="20"/>
              </w:rPr>
              <w:t xml:space="preserve"> the</w:t>
            </w:r>
            <w:r w:rsidRPr="00772AE8">
              <w:rPr>
                <w:rFonts w:ascii="Lato" w:hAnsi="Lato"/>
                <w:sz w:val="20"/>
                <w:szCs w:val="20"/>
              </w:rPr>
              <w:t xml:space="preserve"> asset is impaired. </w:t>
            </w:r>
          </w:p>
          <w:p w:rsidR="00CD3B13" w:rsidRPr="00304604" w:rsidRDefault="00B504FE" w:rsidP="00304604">
            <w:pPr>
              <w:rPr>
                <w:rFonts w:ascii="Lato" w:hAnsi="Lato"/>
                <w:sz w:val="20"/>
                <w:szCs w:val="20"/>
              </w:rPr>
            </w:pPr>
            <w:r w:rsidRPr="00772AE8">
              <w:rPr>
                <w:rFonts w:ascii="Lato" w:hAnsi="Lato"/>
                <w:sz w:val="20"/>
                <w:szCs w:val="20"/>
              </w:rPr>
              <w:t>L</w:t>
            </w:r>
            <w:r w:rsidR="00CD3B13" w:rsidRPr="00772AE8">
              <w:rPr>
                <w:rFonts w:ascii="Lato" w:hAnsi="Lato"/>
                <w:sz w:val="20"/>
                <w:szCs w:val="20"/>
              </w:rPr>
              <w:t>oss arising from the impairment</w:t>
            </w:r>
            <w:r w:rsidRPr="00772AE8">
              <w:rPr>
                <w:rFonts w:ascii="Lato" w:hAnsi="Lato"/>
                <w:sz w:val="20"/>
                <w:szCs w:val="20"/>
              </w:rPr>
              <w:t xml:space="preserve"> of non-financial asset</w:t>
            </w:r>
            <w:r w:rsidR="00772AE8" w:rsidRPr="00772AE8">
              <w:rPr>
                <w:rFonts w:ascii="Lato" w:hAnsi="Lato"/>
                <w:sz w:val="20"/>
                <w:szCs w:val="20"/>
              </w:rPr>
              <w:t>s</w:t>
            </w:r>
            <w:r w:rsidR="00CD3B13" w:rsidRPr="00772AE8">
              <w:rPr>
                <w:rFonts w:ascii="Lato" w:hAnsi="Lato"/>
                <w:sz w:val="20"/>
                <w:szCs w:val="20"/>
              </w:rPr>
              <w:t xml:space="preserve"> is excluded from the scope of TD – Losses, write offs, waivers and postponements.</w:t>
            </w:r>
            <w:r w:rsidR="00CD3B13" w:rsidRPr="00304604">
              <w:rPr>
                <w:rFonts w:ascii="Lato" w:hAnsi="Lato"/>
                <w:sz w:val="20"/>
                <w:szCs w:val="20"/>
              </w:rPr>
              <w:t xml:space="preserve"> </w:t>
            </w:r>
          </w:p>
          <w:p w:rsidR="00CD3B13" w:rsidRPr="00304604" w:rsidRDefault="00CD3B13" w:rsidP="00304604">
            <w:pPr>
              <w:rPr>
                <w:rFonts w:ascii="Lato" w:hAnsi="Lato"/>
                <w:b/>
                <w:i/>
                <w:color w:val="808080" w:themeColor="background1" w:themeShade="80"/>
                <w:sz w:val="20"/>
                <w:szCs w:val="20"/>
                <w:shd w:val="clear" w:color="auto" w:fill="FFFFFF"/>
              </w:rPr>
            </w:pPr>
            <w:r w:rsidRPr="00304604">
              <w:rPr>
                <w:rFonts w:ascii="Lato" w:hAnsi="Lato"/>
                <w:b/>
                <w:i/>
                <w:color w:val="808080" w:themeColor="background1" w:themeShade="80"/>
                <w:sz w:val="20"/>
                <w:szCs w:val="20"/>
                <w:shd w:val="clear" w:color="auto" w:fill="FFFFFF"/>
              </w:rPr>
              <w:t>Write-down of inventory</w:t>
            </w:r>
          </w:p>
          <w:p w:rsidR="00CD3B13" w:rsidRPr="00304604" w:rsidRDefault="00E968DC" w:rsidP="00304604">
            <w:pPr>
              <w:spacing w:after="120"/>
              <w:rPr>
                <w:rFonts w:ascii="Lato" w:hAnsi="Lato"/>
                <w:sz w:val="20"/>
                <w:szCs w:val="20"/>
                <w:shd w:val="clear" w:color="auto" w:fill="FFFFFF"/>
              </w:rPr>
            </w:pPr>
            <w:hyperlink r:id="rId15" w:history="1">
              <w:r w:rsidR="00CD3B13" w:rsidRPr="00304604">
                <w:rPr>
                  <w:rStyle w:val="Hyperlink"/>
                  <w:rFonts w:ascii="Lato" w:hAnsi="Lato"/>
                  <w:sz w:val="20"/>
                  <w:szCs w:val="20"/>
                  <w:shd w:val="clear" w:color="auto" w:fill="FFFFFF"/>
                </w:rPr>
                <w:t>AASB 102 Inventories</w:t>
              </w:r>
            </w:hyperlink>
            <w:r w:rsidR="00CD3B13" w:rsidRPr="00304604">
              <w:rPr>
                <w:rFonts w:ascii="Lato" w:hAnsi="Lato"/>
                <w:color w:val="333333"/>
                <w:sz w:val="20"/>
                <w:szCs w:val="20"/>
                <w:shd w:val="clear" w:color="auto" w:fill="FFFFFF"/>
              </w:rPr>
              <w:t xml:space="preserve"> </w:t>
            </w:r>
            <w:r w:rsidR="00CD3B13" w:rsidRPr="00304604">
              <w:rPr>
                <w:rFonts w:ascii="Lato" w:hAnsi="Lato"/>
                <w:sz w:val="20"/>
                <w:szCs w:val="20"/>
                <w:shd w:val="clear" w:color="auto" w:fill="FFFFFF"/>
              </w:rPr>
              <w:t>requires inventories to be measured at:</w:t>
            </w:r>
          </w:p>
          <w:p w:rsidR="00CD3B13" w:rsidRPr="00304604" w:rsidRDefault="00CD3B13" w:rsidP="00304604">
            <w:pPr>
              <w:pStyle w:val="ListParagraph"/>
              <w:numPr>
                <w:ilvl w:val="0"/>
                <w:numId w:val="44"/>
              </w:numPr>
              <w:ind w:left="283" w:hanging="283"/>
              <w:rPr>
                <w:rFonts w:ascii="Lato" w:hAnsi="Lato"/>
                <w:sz w:val="20"/>
                <w:szCs w:val="20"/>
                <w:shd w:val="clear" w:color="auto" w:fill="FFFFFF"/>
              </w:rPr>
            </w:pPr>
            <w:r w:rsidRPr="00304604">
              <w:rPr>
                <w:rFonts w:ascii="Lato" w:hAnsi="Lato"/>
                <w:sz w:val="20"/>
                <w:szCs w:val="20"/>
                <w:shd w:val="clear" w:color="auto" w:fill="FFFFFF"/>
              </w:rPr>
              <w:t>cost, adjusted when applicable for any loss of service potential. Where inventories are acquired at no cost, cost is equal to current replacement cost as at the date of acquisition (for inventories held distribution in not for profit entities)</w:t>
            </w:r>
          </w:p>
          <w:p w:rsidR="00CD3B13" w:rsidRPr="00304604" w:rsidRDefault="00CD3B13" w:rsidP="00304604">
            <w:pPr>
              <w:pStyle w:val="ListParagraph"/>
              <w:numPr>
                <w:ilvl w:val="0"/>
                <w:numId w:val="44"/>
              </w:numPr>
              <w:spacing w:after="240"/>
              <w:ind w:left="283" w:hanging="283"/>
              <w:rPr>
                <w:rFonts w:ascii="Lato" w:hAnsi="Lato"/>
                <w:sz w:val="20"/>
                <w:szCs w:val="20"/>
                <w:shd w:val="clear" w:color="auto" w:fill="FFFFFF"/>
              </w:rPr>
            </w:pPr>
            <w:r w:rsidRPr="00304604">
              <w:rPr>
                <w:rFonts w:ascii="Lato" w:hAnsi="Lato"/>
                <w:sz w:val="20"/>
                <w:szCs w:val="20"/>
                <w:shd w:val="clear" w:color="auto" w:fill="FFFFFF"/>
              </w:rPr>
              <w:t>lower of cost and net realisable value (for all other inventories).</w:t>
            </w:r>
          </w:p>
          <w:p w:rsidR="00CD3B13" w:rsidRPr="00304604" w:rsidRDefault="00CD3B13" w:rsidP="00304604">
            <w:pPr>
              <w:spacing w:after="120"/>
              <w:rPr>
                <w:rFonts w:ascii="Lato" w:hAnsi="Lato"/>
                <w:sz w:val="20"/>
                <w:szCs w:val="20"/>
              </w:rPr>
            </w:pPr>
            <w:r w:rsidRPr="00304604">
              <w:rPr>
                <w:rFonts w:ascii="Lato" w:hAnsi="Lato"/>
                <w:b/>
                <w:sz w:val="20"/>
                <w:szCs w:val="20"/>
              </w:rPr>
              <w:t>Inventories held for distribution</w:t>
            </w:r>
            <w:r w:rsidRPr="00304604">
              <w:rPr>
                <w:rFonts w:ascii="Lato" w:hAnsi="Lato"/>
                <w:sz w:val="20"/>
                <w:szCs w:val="20"/>
              </w:rPr>
              <w:t xml:space="preserve"> are assets: </w:t>
            </w:r>
          </w:p>
          <w:p w:rsidR="00CD3B13" w:rsidRPr="00304604" w:rsidRDefault="00CD3B13" w:rsidP="00304604">
            <w:pPr>
              <w:pStyle w:val="ListParagraph"/>
              <w:numPr>
                <w:ilvl w:val="0"/>
                <w:numId w:val="45"/>
              </w:numPr>
              <w:ind w:left="283" w:hanging="283"/>
              <w:rPr>
                <w:rFonts w:ascii="Lato" w:hAnsi="Lato"/>
                <w:sz w:val="20"/>
                <w:szCs w:val="20"/>
              </w:rPr>
            </w:pPr>
            <w:r w:rsidRPr="00304604">
              <w:rPr>
                <w:rFonts w:ascii="Lato" w:hAnsi="Lato"/>
                <w:sz w:val="20"/>
                <w:szCs w:val="20"/>
              </w:rPr>
              <w:t>held for distribution at no or nominal consideration in the ordinary course of operations</w:t>
            </w:r>
          </w:p>
          <w:p w:rsidR="00CD3B13" w:rsidRPr="00304604" w:rsidRDefault="00CD3B13" w:rsidP="00304604">
            <w:pPr>
              <w:pStyle w:val="ListParagraph"/>
              <w:numPr>
                <w:ilvl w:val="0"/>
                <w:numId w:val="45"/>
              </w:numPr>
              <w:ind w:left="283" w:hanging="283"/>
              <w:rPr>
                <w:rFonts w:ascii="Lato" w:hAnsi="Lato"/>
                <w:sz w:val="20"/>
                <w:szCs w:val="20"/>
              </w:rPr>
            </w:pPr>
            <w:r w:rsidRPr="00304604">
              <w:rPr>
                <w:rFonts w:ascii="Lato" w:hAnsi="Lato"/>
                <w:sz w:val="20"/>
                <w:szCs w:val="20"/>
              </w:rPr>
              <w:t>in the process of production for distribution at no or nominal consideration in the ordinary course of operations</w:t>
            </w:r>
          </w:p>
          <w:p w:rsidR="00CD3B13" w:rsidRPr="00304604" w:rsidRDefault="00CD3B13" w:rsidP="00304604">
            <w:pPr>
              <w:pStyle w:val="ListParagraph"/>
              <w:numPr>
                <w:ilvl w:val="0"/>
                <w:numId w:val="45"/>
              </w:numPr>
              <w:ind w:left="283" w:hanging="283"/>
              <w:rPr>
                <w:rFonts w:ascii="Lato" w:hAnsi="Lato"/>
                <w:sz w:val="20"/>
                <w:szCs w:val="20"/>
              </w:rPr>
            </w:pPr>
            <w:r w:rsidRPr="00304604">
              <w:rPr>
                <w:rFonts w:ascii="Lato" w:hAnsi="Lato"/>
                <w:sz w:val="20"/>
                <w:szCs w:val="20"/>
              </w:rPr>
              <w:t>or in the form of materials or supplies to be consumed in the production process or in the rendering of services at no or nominal consideration.</w:t>
            </w:r>
          </w:p>
          <w:p w:rsidR="00CD3B13" w:rsidRPr="00304604" w:rsidRDefault="00CD3B13" w:rsidP="00304604">
            <w:pPr>
              <w:rPr>
                <w:rFonts w:ascii="Lato" w:hAnsi="Lato"/>
                <w:sz w:val="20"/>
                <w:szCs w:val="20"/>
              </w:rPr>
            </w:pPr>
            <w:r w:rsidRPr="00304604">
              <w:rPr>
                <w:rFonts w:ascii="Lato" w:hAnsi="Lato"/>
                <w:b/>
                <w:sz w:val="20"/>
                <w:szCs w:val="20"/>
              </w:rPr>
              <w:t>Current replacement cost</w:t>
            </w:r>
            <w:r w:rsidRPr="00304604">
              <w:rPr>
                <w:rFonts w:ascii="Lato" w:hAnsi="Lato"/>
                <w:sz w:val="20"/>
                <w:szCs w:val="20"/>
              </w:rPr>
              <w:t xml:space="preserve"> is the cost that an agency would incur to acquire the asset at the reporting date.</w:t>
            </w:r>
          </w:p>
          <w:p w:rsidR="00CD3B13" w:rsidRPr="00304604" w:rsidRDefault="00CD3B13" w:rsidP="00304604">
            <w:pPr>
              <w:rPr>
                <w:rFonts w:ascii="Lato" w:hAnsi="Lato"/>
                <w:color w:val="333333"/>
                <w:sz w:val="20"/>
                <w:szCs w:val="20"/>
                <w:shd w:val="clear" w:color="auto" w:fill="FFFFFF"/>
              </w:rPr>
            </w:pPr>
            <w:r w:rsidRPr="00304604">
              <w:rPr>
                <w:rFonts w:ascii="Lato" w:hAnsi="Lato"/>
                <w:b/>
                <w:sz w:val="20"/>
                <w:szCs w:val="20"/>
              </w:rPr>
              <w:t>Net realisable value</w:t>
            </w:r>
            <w:r w:rsidRPr="00304604">
              <w:rPr>
                <w:rFonts w:ascii="Lato" w:hAnsi="Lato"/>
                <w:sz w:val="20"/>
                <w:szCs w:val="20"/>
              </w:rPr>
              <w:t xml:space="preserve"> is the amount expected to be received on sale or disposal of inventory after deducting expected costs, such as costs incurred in completion, marketing, selling and distribution.</w:t>
            </w:r>
          </w:p>
          <w:p w:rsidR="00CD3B13" w:rsidRPr="00304604" w:rsidRDefault="00CD3B13" w:rsidP="00304604">
            <w:pPr>
              <w:rPr>
                <w:rFonts w:ascii="Lato" w:hAnsi="Lato"/>
                <w:sz w:val="20"/>
                <w:szCs w:val="20"/>
              </w:rPr>
            </w:pPr>
            <w:r w:rsidRPr="00304604">
              <w:rPr>
                <w:rFonts w:ascii="Lato" w:hAnsi="Lato"/>
                <w:sz w:val="20"/>
                <w:szCs w:val="20"/>
              </w:rPr>
              <w:t xml:space="preserve">When the cost of inventory is greater than net realisable value, inventory will be written down to current replacement cost or net realisable value. In this situation, inventory will be reduced and an expense </w:t>
            </w:r>
            <w:r w:rsidR="00772AE8">
              <w:rPr>
                <w:rFonts w:ascii="Lato" w:hAnsi="Lato"/>
                <w:sz w:val="20"/>
                <w:szCs w:val="20"/>
              </w:rPr>
              <w:t>recorded</w:t>
            </w:r>
            <w:r w:rsidRPr="00304604">
              <w:rPr>
                <w:rFonts w:ascii="Lato" w:hAnsi="Lato"/>
                <w:sz w:val="20"/>
                <w:szCs w:val="20"/>
              </w:rPr>
              <w:t xml:space="preserve"> equivalent to the amount written down in the reporting period in which the write down occurs.</w:t>
            </w:r>
          </w:p>
          <w:p w:rsidR="00CD3B13" w:rsidRPr="00304604" w:rsidRDefault="00CD3B13" w:rsidP="00304604">
            <w:pPr>
              <w:spacing w:after="120"/>
              <w:rPr>
                <w:rFonts w:ascii="Lato" w:hAnsi="Lato"/>
                <w:sz w:val="20"/>
                <w:szCs w:val="20"/>
              </w:rPr>
            </w:pPr>
            <w:r w:rsidRPr="00304604">
              <w:rPr>
                <w:rFonts w:ascii="Lato" w:hAnsi="Lato"/>
                <w:sz w:val="20"/>
                <w:szCs w:val="20"/>
              </w:rPr>
              <w:t>Change in net realisable value may result from any of the following:</w:t>
            </w:r>
          </w:p>
          <w:p w:rsidR="00CD3B13" w:rsidRPr="00304604" w:rsidRDefault="00CD3B13" w:rsidP="00304604">
            <w:pPr>
              <w:pStyle w:val="ListParagraph"/>
              <w:numPr>
                <w:ilvl w:val="0"/>
                <w:numId w:val="43"/>
              </w:numPr>
              <w:ind w:left="283" w:hanging="283"/>
              <w:rPr>
                <w:rFonts w:ascii="Lato" w:hAnsi="Lato"/>
                <w:sz w:val="20"/>
                <w:szCs w:val="20"/>
              </w:rPr>
            </w:pPr>
            <w:r w:rsidRPr="00304604">
              <w:rPr>
                <w:rFonts w:ascii="Lato" w:hAnsi="Lato"/>
                <w:sz w:val="20"/>
                <w:szCs w:val="20"/>
              </w:rPr>
              <w:t>change in market or economic conditions (for example, decrease in demand which caused</w:t>
            </w:r>
            <w:r w:rsidR="00772AE8">
              <w:rPr>
                <w:rFonts w:ascii="Lato" w:hAnsi="Lato"/>
                <w:sz w:val="20"/>
                <w:szCs w:val="20"/>
              </w:rPr>
              <w:t xml:space="preserve"> a</w:t>
            </w:r>
            <w:r w:rsidRPr="00304604">
              <w:rPr>
                <w:rFonts w:ascii="Lato" w:hAnsi="Lato"/>
                <w:sz w:val="20"/>
                <w:szCs w:val="20"/>
              </w:rPr>
              <w:t xml:space="preserve"> decrease in selling price or increase in marketing costs)</w:t>
            </w:r>
          </w:p>
          <w:p w:rsidR="00CD3B13" w:rsidRPr="00304604" w:rsidRDefault="00CD3B13" w:rsidP="00304604">
            <w:pPr>
              <w:pStyle w:val="ListParagraph"/>
              <w:numPr>
                <w:ilvl w:val="0"/>
                <w:numId w:val="43"/>
              </w:numPr>
              <w:ind w:left="283" w:hanging="283"/>
              <w:rPr>
                <w:rFonts w:ascii="Lato" w:hAnsi="Lato"/>
                <w:sz w:val="20"/>
                <w:szCs w:val="20"/>
              </w:rPr>
            </w:pPr>
            <w:r w:rsidRPr="00304604">
              <w:rPr>
                <w:rFonts w:ascii="Lato" w:hAnsi="Lato"/>
                <w:sz w:val="20"/>
                <w:szCs w:val="20"/>
              </w:rPr>
              <w:t>change in physical condition of the asset (for example, damaged or deteriorated).</w:t>
            </w:r>
          </w:p>
          <w:p w:rsidR="00293923" w:rsidRPr="00304604" w:rsidRDefault="008F27E0" w:rsidP="008F27E0">
            <w:pPr>
              <w:spacing w:after="120"/>
              <w:rPr>
                <w:rFonts w:ascii="Lato" w:hAnsi="Lato"/>
                <w:sz w:val="20"/>
                <w:szCs w:val="20"/>
              </w:rPr>
            </w:pPr>
            <w:r>
              <w:rPr>
                <w:rFonts w:ascii="Lato" w:hAnsi="Lato"/>
                <w:sz w:val="20"/>
                <w:szCs w:val="20"/>
              </w:rPr>
              <w:t>L</w:t>
            </w:r>
            <w:r w:rsidR="00CD3B13" w:rsidRPr="00304604">
              <w:rPr>
                <w:rFonts w:ascii="Lato" w:hAnsi="Lato"/>
                <w:sz w:val="20"/>
                <w:szCs w:val="20"/>
              </w:rPr>
              <w:t xml:space="preserve">oss arising from write-down </w:t>
            </w:r>
            <w:r w:rsidRPr="00304604">
              <w:rPr>
                <w:rFonts w:ascii="Lato" w:hAnsi="Lato"/>
                <w:sz w:val="20"/>
                <w:szCs w:val="20"/>
              </w:rPr>
              <w:t xml:space="preserve">of inventory </w:t>
            </w:r>
            <w:r w:rsidR="00CD3B13" w:rsidRPr="00304604">
              <w:rPr>
                <w:rFonts w:ascii="Lato" w:hAnsi="Lato"/>
                <w:sz w:val="20"/>
                <w:szCs w:val="20"/>
              </w:rPr>
              <w:t>is excluded from the scope of the TD – Losses, write offs, waivers and postponements.</w:t>
            </w:r>
          </w:p>
        </w:tc>
      </w:tr>
      <w:tr w:rsidR="00CB3AF8" w:rsidRPr="00304604" w:rsidTr="00922A8D">
        <w:trPr>
          <w:trHeight w:val="7535"/>
        </w:trPr>
        <w:tc>
          <w:tcPr>
            <w:tcW w:w="3539" w:type="dxa"/>
          </w:tcPr>
          <w:p w:rsidR="00CB3AF8" w:rsidRPr="00A81270" w:rsidRDefault="00CB3AF8" w:rsidP="00A81270">
            <w:pPr>
              <w:rPr>
                <w:rFonts w:ascii="Lato" w:hAnsi="Lato"/>
                <w:b/>
                <w:color w:val="002060"/>
                <w:sz w:val="20"/>
                <w:szCs w:val="20"/>
              </w:rPr>
            </w:pPr>
            <w:r>
              <w:rPr>
                <w:rFonts w:ascii="Lato" w:hAnsi="Lato"/>
                <w:b/>
                <w:color w:val="002060"/>
                <w:sz w:val="20"/>
                <w:szCs w:val="20"/>
              </w:rPr>
              <w:lastRenderedPageBreak/>
              <w:t>Foreign currency exchange translations</w:t>
            </w:r>
          </w:p>
        </w:tc>
        <w:tc>
          <w:tcPr>
            <w:tcW w:w="8789" w:type="dxa"/>
          </w:tcPr>
          <w:p w:rsidR="00CB3AF8" w:rsidRDefault="00D87D98" w:rsidP="00D87D98">
            <w:pPr>
              <w:rPr>
                <w:rFonts w:ascii="Lato" w:hAnsi="Lato"/>
                <w:sz w:val="20"/>
                <w:szCs w:val="20"/>
                <w:shd w:val="clear" w:color="auto" w:fill="FFFFFF"/>
              </w:rPr>
            </w:pPr>
            <w:r w:rsidRPr="00304604">
              <w:rPr>
                <w:rFonts w:ascii="Lato" w:hAnsi="Lato"/>
                <w:sz w:val="20"/>
                <w:szCs w:val="20"/>
                <w:shd w:val="clear" w:color="auto" w:fill="FFFFFF"/>
              </w:rPr>
              <w:t>Agencies should refer to</w:t>
            </w:r>
            <w:r>
              <w:rPr>
                <w:rFonts w:ascii="Lato" w:hAnsi="Lato"/>
                <w:sz w:val="20"/>
                <w:szCs w:val="20"/>
                <w:shd w:val="clear" w:color="auto" w:fill="FFFFFF"/>
              </w:rPr>
              <w:t xml:space="preserve"> the following for further information and guidance:</w:t>
            </w:r>
          </w:p>
          <w:p w:rsidR="00D87D98" w:rsidRPr="00D87D98" w:rsidRDefault="00E968DC" w:rsidP="00D87D98">
            <w:pPr>
              <w:pStyle w:val="ListParagraph"/>
              <w:numPr>
                <w:ilvl w:val="0"/>
                <w:numId w:val="47"/>
              </w:numPr>
              <w:rPr>
                <w:rFonts w:ascii="Lato" w:hAnsi="Lato"/>
                <w:sz w:val="20"/>
                <w:szCs w:val="20"/>
                <w:shd w:val="clear" w:color="auto" w:fill="FFFFFF"/>
              </w:rPr>
            </w:pPr>
            <w:hyperlink r:id="rId16" w:history="1">
              <w:r w:rsidR="00D87D98" w:rsidRPr="00D87D98">
                <w:rPr>
                  <w:rStyle w:val="Hyperlink"/>
                  <w:rFonts w:ascii="Lato" w:hAnsi="Lato"/>
                  <w:sz w:val="20"/>
                  <w:szCs w:val="20"/>
                  <w:shd w:val="clear" w:color="auto" w:fill="FFFFFF"/>
                </w:rPr>
                <w:t>AASB 121 The Effects of Changes in Foreign Exchange Rates</w:t>
              </w:r>
            </w:hyperlink>
            <w:r w:rsidR="00D87D98" w:rsidRPr="00D87D98">
              <w:rPr>
                <w:rFonts w:ascii="Lato" w:hAnsi="Lato"/>
                <w:sz w:val="20"/>
                <w:szCs w:val="20"/>
                <w:shd w:val="clear" w:color="auto" w:fill="FFFFFF"/>
              </w:rPr>
              <w:t xml:space="preserve"> – for non-derivative transactions</w:t>
            </w:r>
          </w:p>
          <w:p w:rsidR="00D87D98" w:rsidRPr="00D87D98" w:rsidRDefault="00E968DC" w:rsidP="00D87D98">
            <w:pPr>
              <w:pStyle w:val="ListParagraph"/>
              <w:numPr>
                <w:ilvl w:val="0"/>
                <w:numId w:val="47"/>
              </w:numPr>
              <w:rPr>
                <w:rFonts w:ascii="Lato" w:hAnsi="Lato"/>
                <w:color w:val="333333"/>
                <w:sz w:val="20"/>
                <w:szCs w:val="20"/>
                <w:shd w:val="clear" w:color="auto" w:fill="FFFFFF"/>
              </w:rPr>
            </w:pPr>
            <w:hyperlink r:id="rId17" w:history="1">
              <w:r w:rsidR="00D87D98" w:rsidRPr="00D87D98">
                <w:rPr>
                  <w:rStyle w:val="Hyperlink"/>
                  <w:rFonts w:ascii="Lato" w:hAnsi="Lato"/>
                  <w:sz w:val="20"/>
                  <w:szCs w:val="20"/>
                  <w:shd w:val="clear" w:color="auto" w:fill="FFFFFF"/>
                </w:rPr>
                <w:t>AASB 9 Financial Instruments</w:t>
              </w:r>
            </w:hyperlink>
            <w:r w:rsidR="00D87D98" w:rsidRPr="00D87D98">
              <w:rPr>
                <w:rFonts w:ascii="Lato" w:hAnsi="Lato"/>
                <w:sz w:val="20"/>
                <w:szCs w:val="20"/>
                <w:shd w:val="clear" w:color="auto" w:fill="FFFFFF"/>
              </w:rPr>
              <w:t xml:space="preserve"> – for derivative transactions</w:t>
            </w:r>
            <w:r w:rsidR="00D87D98">
              <w:rPr>
                <w:rFonts w:ascii="Lato" w:hAnsi="Lato"/>
                <w:sz w:val="20"/>
                <w:szCs w:val="20"/>
                <w:shd w:val="clear" w:color="auto" w:fill="FFFFFF"/>
              </w:rPr>
              <w:t>.</w:t>
            </w:r>
          </w:p>
        </w:tc>
        <w:tc>
          <w:tcPr>
            <w:tcW w:w="8505" w:type="dxa"/>
          </w:tcPr>
          <w:p w:rsidR="00D87D98" w:rsidRDefault="00D87D98" w:rsidP="00304604">
            <w:pPr>
              <w:rPr>
                <w:rFonts w:ascii="Lato" w:hAnsi="Lato"/>
                <w:sz w:val="20"/>
                <w:szCs w:val="20"/>
              </w:rPr>
            </w:pPr>
            <w:r w:rsidRPr="00D87D98">
              <w:rPr>
                <w:rFonts w:ascii="Lato" w:hAnsi="Lato"/>
                <w:sz w:val="20"/>
                <w:szCs w:val="20"/>
              </w:rPr>
              <w:t xml:space="preserve">A foreign currency transaction is a transaction that is denominated or requires settlement in a foreign currency, including transactions arising when an entity: </w:t>
            </w:r>
          </w:p>
          <w:p w:rsidR="00D87D98" w:rsidRDefault="00D87D98" w:rsidP="00D87D98">
            <w:pPr>
              <w:pStyle w:val="ListParagraph"/>
              <w:numPr>
                <w:ilvl w:val="0"/>
                <w:numId w:val="43"/>
              </w:numPr>
              <w:ind w:left="283" w:hanging="283"/>
              <w:rPr>
                <w:rFonts w:ascii="Lato" w:hAnsi="Lato"/>
                <w:sz w:val="20"/>
                <w:szCs w:val="20"/>
              </w:rPr>
            </w:pPr>
            <w:r w:rsidRPr="00D87D98">
              <w:rPr>
                <w:rFonts w:ascii="Lato" w:hAnsi="Lato"/>
                <w:sz w:val="20"/>
                <w:szCs w:val="20"/>
              </w:rPr>
              <w:t xml:space="preserve">buys or sells goods or services whose price is denominated in a foreign currency; </w:t>
            </w:r>
          </w:p>
          <w:p w:rsidR="00D87D98" w:rsidRDefault="00D87D98" w:rsidP="00D87D98">
            <w:pPr>
              <w:pStyle w:val="ListParagraph"/>
              <w:numPr>
                <w:ilvl w:val="0"/>
                <w:numId w:val="43"/>
              </w:numPr>
              <w:ind w:left="283" w:hanging="283"/>
              <w:rPr>
                <w:rFonts w:ascii="Lato" w:hAnsi="Lato"/>
                <w:sz w:val="20"/>
                <w:szCs w:val="20"/>
              </w:rPr>
            </w:pPr>
            <w:r w:rsidRPr="00D87D98">
              <w:rPr>
                <w:rFonts w:ascii="Lato" w:hAnsi="Lato"/>
                <w:sz w:val="20"/>
                <w:szCs w:val="20"/>
              </w:rPr>
              <w:t xml:space="preserve">borrows or lends funds when the amounts payable or receivable are denominated in a foreign currency; or </w:t>
            </w:r>
          </w:p>
          <w:p w:rsidR="00CB3AF8" w:rsidRPr="001B2A31" w:rsidRDefault="00D87D98" w:rsidP="00D87D98">
            <w:pPr>
              <w:pStyle w:val="ListParagraph"/>
              <w:numPr>
                <w:ilvl w:val="0"/>
                <w:numId w:val="43"/>
              </w:numPr>
              <w:ind w:left="283" w:hanging="283"/>
              <w:rPr>
                <w:rFonts w:ascii="Lato" w:hAnsi="Lato"/>
                <w:color w:val="808080" w:themeColor="background1" w:themeShade="80"/>
                <w:sz w:val="20"/>
                <w:szCs w:val="20"/>
                <w:shd w:val="clear" w:color="auto" w:fill="FFFFFF"/>
              </w:rPr>
            </w:pPr>
            <w:r w:rsidRPr="00D87D98">
              <w:rPr>
                <w:rFonts w:ascii="Lato" w:hAnsi="Lato"/>
                <w:sz w:val="20"/>
                <w:szCs w:val="20"/>
              </w:rPr>
              <w:t>otherwise acquires or disposes of assets, or incurs or settles liabilities, denominated in a foreign currency.</w:t>
            </w:r>
          </w:p>
          <w:p w:rsidR="001B2A31" w:rsidRPr="001B2A31" w:rsidRDefault="001B2A31" w:rsidP="001B2A31">
            <w:pPr>
              <w:rPr>
                <w:rFonts w:ascii="Lato" w:hAnsi="Lato"/>
                <w:b/>
                <w:sz w:val="20"/>
                <w:szCs w:val="20"/>
                <w:u w:val="single"/>
              </w:rPr>
            </w:pPr>
            <w:r w:rsidRPr="001B2A31">
              <w:rPr>
                <w:rFonts w:ascii="Lato" w:hAnsi="Lato"/>
                <w:b/>
                <w:sz w:val="20"/>
                <w:szCs w:val="20"/>
                <w:u w:val="single"/>
              </w:rPr>
              <w:t>Initial recognition</w:t>
            </w:r>
          </w:p>
          <w:p w:rsidR="001B2A31" w:rsidRPr="001B2A31" w:rsidRDefault="001B2A31" w:rsidP="001B2A31">
            <w:pPr>
              <w:rPr>
                <w:rFonts w:ascii="Lato" w:hAnsi="Lato"/>
                <w:sz w:val="20"/>
                <w:szCs w:val="20"/>
              </w:rPr>
            </w:pPr>
            <w:r w:rsidRPr="001B2A31">
              <w:rPr>
                <w:rFonts w:ascii="Lato" w:hAnsi="Lato"/>
                <w:sz w:val="20"/>
                <w:szCs w:val="20"/>
              </w:rPr>
              <w:t>A foreign currency transaction shall be recorded, on initial recognition in the functional currency, by applying to the foreign currency amount</w:t>
            </w:r>
            <w:r w:rsidR="00766C7D">
              <w:rPr>
                <w:rFonts w:ascii="Lato" w:hAnsi="Lato"/>
                <w:sz w:val="20"/>
                <w:szCs w:val="20"/>
              </w:rPr>
              <w:t>,</w:t>
            </w:r>
            <w:r w:rsidRPr="001B2A31">
              <w:rPr>
                <w:rFonts w:ascii="Lato" w:hAnsi="Lato"/>
                <w:sz w:val="20"/>
                <w:szCs w:val="20"/>
              </w:rPr>
              <w:t xml:space="preserve"> the spot exchange rate between the functional currency and the foreign currency at the date of the transaction.</w:t>
            </w:r>
          </w:p>
          <w:p w:rsidR="001B2A31" w:rsidRPr="001B2A31" w:rsidRDefault="001B2A31" w:rsidP="001B2A31">
            <w:pPr>
              <w:rPr>
                <w:rFonts w:ascii="Lato" w:hAnsi="Lato"/>
                <w:b/>
                <w:sz w:val="20"/>
                <w:szCs w:val="20"/>
                <w:u w:val="single"/>
              </w:rPr>
            </w:pPr>
            <w:r w:rsidRPr="001B2A31">
              <w:rPr>
                <w:rFonts w:ascii="Lato" w:hAnsi="Lato"/>
                <w:b/>
                <w:sz w:val="20"/>
                <w:szCs w:val="20"/>
                <w:u w:val="single"/>
              </w:rPr>
              <w:t>Subsequent recognition</w:t>
            </w:r>
          </w:p>
          <w:p w:rsidR="001B2A31" w:rsidRDefault="001B2A31" w:rsidP="001B2A31">
            <w:pPr>
              <w:rPr>
                <w:rFonts w:ascii="Lato" w:hAnsi="Lato"/>
                <w:sz w:val="20"/>
                <w:szCs w:val="20"/>
              </w:rPr>
            </w:pPr>
            <w:r w:rsidRPr="001B2A31">
              <w:rPr>
                <w:rFonts w:ascii="Lato" w:hAnsi="Lato"/>
                <w:sz w:val="20"/>
                <w:szCs w:val="20"/>
              </w:rPr>
              <w:t xml:space="preserve">At the end of each reporting period: </w:t>
            </w:r>
          </w:p>
          <w:p w:rsidR="001B2A31" w:rsidRDefault="001B2A31" w:rsidP="001B2A31">
            <w:pPr>
              <w:pStyle w:val="ListParagraph"/>
              <w:numPr>
                <w:ilvl w:val="0"/>
                <w:numId w:val="43"/>
              </w:numPr>
              <w:ind w:left="283" w:hanging="283"/>
              <w:rPr>
                <w:rFonts w:ascii="Lato" w:hAnsi="Lato"/>
                <w:sz w:val="20"/>
                <w:szCs w:val="20"/>
              </w:rPr>
            </w:pPr>
            <w:r w:rsidRPr="001B2A31">
              <w:rPr>
                <w:rFonts w:ascii="Lato" w:hAnsi="Lato"/>
                <w:sz w:val="20"/>
                <w:szCs w:val="20"/>
              </w:rPr>
              <w:t xml:space="preserve">foreign currency monetary items shall be translated using the closing rate; </w:t>
            </w:r>
          </w:p>
          <w:p w:rsidR="001B2A31" w:rsidRDefault="001B2A31" w:rsidP="001B2A31">
            <w:pPr>
              <w:pStyle w:val="ListParagraph"/>
              <w:numPr>
                <w:ilvl w:val="0"/>
                <w:numId w:val="43"/>
              </w:numPr>
              <w:ind w:left="283" w:hanging="283"/>
              <w:rPr>
                <w:rFonts w:ascii="Lato" w:hAnsi="Lato"/>
                <w:sz w:val="20"/>
                <w:szCs w:val="20"/>
              </w:rPr>
            </w:pPr>
            <w:r w:rsidRPr="001B2A31">
              <w:rPr>
                <w:rFonts w:ascii="Lato" w:hAnsi="Lato"/>
                <w:sz w:val="20"/>
                <w:szCs w:val="20"/>
              </w:rPr>
              <w:t xml:space="preserve">non-monetary items that are measured in terms of historical cost in a foreign currency shall be translated using the exchange rate at the date of the transaction; and </w:t>
            </w:r>
          </w:p>
          <w:p w:rsidR="001B2A31" w:rsidRPr="001B2A31" w:rsidRDefault="001B2A31" w:rsidP="001B2A31">
            <w:pPr>
              <w:pStyle w:val="ListParagraph"/>
              <w:numPr>
                <w:ilvl w:val="0"/>
                <w:numId w:val="43"/>
              </w:numPr>
              <w:ind w:left="283" w:hanging="283"/>
              <w:rPr>
                <w:rFonts w:ascii="Lato" w:hAnsi="Lato"/>
                <w:color w:val="808080" w:themeColor="background1" w:themeShade="80"/>
                <w:sz w:val="20"/>
                <w:szCs w:val="20"/>
                <w:shd w:val="clear" w:color="auto" w:fill="FFFFFF"/>
              </w:rPr>
            </w:pPr>
            <w:r w:rsidRPr="001B2A31">
              <w:rPr>
                <w:rFonts w:ascii="Lato" w:hAnsi="Lato"/>
                <w:sz w:val="20"/>
                <w:szCs w:val="20"/>
              </w:rPr>
              <w:t>non-monetary items that are measured at fair value in a foreign currency shall be translated using the exchange rates at the date when the fair value was measured.</w:t>
            </w:r>
          </w:p>
          <w:p w:rsidR="001B2A31" w:rsidRPr="001B2A31" w:rsidRDefault="001B2A31" w:rsidP="001B2A31">
            <w:pPr>
              <w:rPr>
                <w:rFonts w:ascii="Lato" w:hAnsi="Lato"/>
                <w:b/>
                <w:sz w:val="20"/>
                <w:szCs w:val="20"/>
                <w:u w:val="single"/>
              </w:rPr>
            </w:pPr>
            <w:r w:rsidRPr="001B2A31">
              <w:rPr>
                <w:rFonts w:ascii="Lato" w:hAnsi="Lato"/>
                <w:b/>
                <w:sz w:val="20"/>
                <w:szCs w:val="20"/>
                <w:u w:val="single"/>
              </w:rPr>
              <w:t>Foreign currency exchange translation differences (Gain or Loss)</w:t>
            </w:r>
          </w:p>
          <w:p w:rsidR="00DB2713" w:rsidRPr="00E230D7" w:rsidRDefault="001B2A31" w:rsidP="00922A8D">
            <w:pPr>
              <w:spacing w:after="120"/>
              <w:rPr>
                <w:rFonts w:ascii="Lato" w:hAnsi="Lato"/>
                <w:sz w:val="20"/>
                <w:szCs w:val="20"/>
              </w:rPr>
            </w:pPr>
            <w:r w:rsidRPr="001B2A31">
              <w:rPr>
                <w:rFonts w:ascii="Lato" w:hAnsi="Lato"/>
                <w:sz w:val="20"/>
                <w:szCs w:val="20"/>
              </w:rPr>
              <w:t>Exchange differences arising on the settlement of monetary items or on translating monetary items at rates different from those at which they were translated on initial recognition during the period or in previous financial statements shall be recognised in profit or loss in the period in which they arise</w:t>
            </w:r>
            <w:r>
              <w:rPr>
                <w:rFonts w:ascii="Lato" w:hAnsi="Lato"/>
                <w:sz w:val="20"/>
                <w:szCs w:val="20"/>
              </w:rPr>
              <w:t>.</w:t>
            </w:r>
          </w:p>
        </w:tc>
      </w:tr>
    </w:tbl>
    <w:p w:rsidR="00CD3B13" w:rsidRPr="00487440" w:rsidRDefault="00CD3B13" w:rsidP="00922A8D">
      <w:pPr>
        <w:spacing w:after="0"/>
      </w:pPr>
    </w:p>
    <w:sectPr w:rsidR="00CD3B13" w:rsidRPr="00487440" w:rsidSect="00304604">
      <w:headerReference w:type="default" r:id="rId18"/>
      <w:footerReference w:type="default" r:id="rId19"/>
      <w:headerReference w:type="first" r:id="rId20"/>
      <w:footerReference w:type="first" r:id="rId21"/>
      <w:type w:val="continuous"/>
      <w:pgSz w:w="23814" w:h="16839" w:orient="landscape" w:code="8"/>
      <w:pgMar w:top="1134" w:right="1134" w:bottom="1134"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261C" w:rsidRDefault="0086261C" w:rsidP="007332FF">
      <w:r>
        <w:separator/>
      </w:r>
    </w:p>
  </w:endnote>
  <w:endnote w:type="continuationSeparator" w:id="0">
    <w:p w:rsidR="0086261C" w:rsidRDefault="0086261C" w:rsidP="0073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ato">
    <w:panose1 w:val="020F0502020204030203"/>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983000" w:rsidRPr="00132658" w:rsidTr="002A6F6A">
      <w:trPr>
        <w:cantSplit/>
        <w:trHeight w:hRule="exact" w:val="1400"/>
        <w:tblHeader/>
      </w:trPr>
      <w:tc>
        <w:tcPr>
          <w:tcW w:w="8505" w:type="dxa"/>
          <w:vAlign w:val="center"/>
        </w:tcPr>
        <w:p w:rsidR="001D49A1" w:rsidRPr="00C209FA" w:rsidRDefault="001D49A1" w:rsidP="001D49A1">
          <w:pPr>
            <w:pStyle w:val="NTGFooter1items"/>
            <w:rPr>
              <w:b/>
            </w:rPr>
          </w:pPr>
          <w:r>
            <w:rPr>
              <w:rStyle w:val="NTGFooterDepartmentofChar"/>
            </w:rPr>
            <w:t xml:space="preserve">DEPARTMENT OF </w:t>
          </w:r>
          <w:r w:rsidRPr="00C209FA">
            <w:rPr>
              <w:rStyle w:val="NTGFooterDepartmentofChar"/>
              <w:b/>
            </w:rPr>
            <w:t>TREASURY AND FINANCE</w:t>
          </w:r>
        </w:p>
        <w:p w:rsidR="00983000" w:rsidRPr="007B5DA2" w:rsidRDefault="003A54E2" w:rsidP="000E342B">
          <w:pPr>
            <w:pStyle w:val="NTGFooter1items"/>
          </w:pPr>
          <w:r>
            <w:rPr>
              <w:rStyle w:val="NTGFooter1itemsChar"/>
            </w:rPr>
            <w:t>July</w:t>
          </w:r>
          <w:r w:rsidR="002374A0">
            <w:rPr>
              <w:rStyle w:val="NTGFooter1itemsChar"/>
            </w:rPr>
            <w:t xml:space="preserve"> 2024</w:t>
          </w:r>
          <w:r w:rsidR="001D49A1">
            <w:rPr>
              <w:rStyle w:val="NTGFooter1itemsChar"/>
            </w:rPr>
            <w:t>, Version 1</w:t>
          </w:r>
        </w:p>
      </w:tc>
      <w:tc>
        <w:tcPr>
          <w:tcW w:w="2268" w:type="dxa"/>
          <w:vAlign w:val="center"/>
        </w:tcPr>
        <w:p w:rsidR="00983000" w:rsidRPr="00DC1F0F" w:rsidRDefault="00983000" w:rsidP="00B11C67">
          <w:pPr>
            <w:spacing w:after="0"/>
            <w:jc w:val="right"/>
            <w:rPr>
              <w:sz w:val="20"/>
            </w:rPr>
          </w:pPr>
          <w:r w:rsidRPr="00DC1F0F">
            <w:rPr>
              <w:sz w:val="20"/>
            </w:rPr>
            <w:t xml:space="preserve">Page </w:t>
          </w:r>
          <w:r w:rsidRPr="00DC1F0F">
            <w:rPr>
              <w:sz w:val="20"/>
            </w:rPr>
            <w:fldChar w:fldCharType="begin"/>
          </w:r>
          <w:r w:rsidRPr="00DC1F0F">
            <w:rPr>
              <w:sz w:val="20"/>
            </w:rPr>
            <w:instrText xml:space="preserve"> PAGE  \* Arabic  \* MERGEFORMAT </w:instrText>
          </w:r>
          <w:r w:rsidRPr="00DC1F0F">
            <w:rPr>
              <w:sz w:val="20"/>
            </w:rPr>
            <w:fldChar w:fldCharType="separate"/>
          </w:r>
          <w:r w:rsidR="00E968DC">
            <w:rPr>
              <w:noProof/>
              <w:sz w:val="20"/>
            </w:rPr>
            <w:t>3</w:t>
          </w:r>
          <w:r w:rsidRPr="00DC1F0F">
            <w:rPr>
              <w:sz w:val="20"/>
            </w:rPr>
            <w:fldChar w:fldCharType="end"/>
          </w:r>
          <w:r w:rsidRPr="00DC1F0F">
            <w:rPr>
              <w:sz w:val="20"/>
            </w:rPr>
            <w:t xml:space="preserve"> of </w:t>
          </w:r>
          <w:r w:rsidRPr="00DC1F0F">
            <w:rPr>
              <w:sz w:val="20"/>
            </w:rPr>
            <w:fldChar w:fldCharType="begin"/>
          </w:r>
          <w:r w:rsidRPr="00DC1F0F">
            <w:rPr>
              <w:sz w:val="20"/>
            </w:rPr>
            <w:instrText xml:space="preserve"> NUMPAGES  \* Arabic  \* MERGEFORMAT </w:instrText>
          </w:r>
          <w:r w:rsidRPr="00DC1F0F">
            <w:rPr>
              <w:sz w:val="20"/>
            </w:rPr>
            <w:fldChar w:fldCharType="separate"/>
          </w:r>
          <w:r w:rsidR="00E968DC">
            <w:rPr>
              <w:noProof/>
              <w:sz w:val="20"/>
            </w:rPr>
            <w:t>3</w:t>
          </w:r>
          <w:r w:rsidRPr="00DC1F0F">
            <w:rPr>
              <w:noProof/>
              <w:sz w:val="20"/>
            </w:rPr>
            <w:fldChar w:fldCharType="end"/>
          </w:r>
        </w:p>
      </w:tc>
    </w:tr>
  </w:tbl>
  <w:p w:rsidR="00983000" w:rsidRPr="00B11C67" w:rsidRDefault="00983000" w:rsidP="00B11C67">
    <w:pPr>
      <w:pStyle w:val="Footer"/>
      <w:rPr>
        <w:rStyle w:val="NTGFooter2deptpagenumChar"/>
        <w:sz w:val="4"/>
        <w:szCs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5417"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6912"/>
    </w:tblGrid>
    <w:tr w:rsidR="00983000" w:rsidRPr="00132658" w:rsidTr="00EE193A">
      <w:trPr>
        <w:cantSplit/>
        <w:trHeight w:hRule="exact" w:val="1400"/>
        <w:tblHeader/>
      </w:trPr>
      <w:tc>
        <w:tcPr>
          <w:tcW w:w="8505" w:type="dxa"/>
          <w:vAlign w:val="center"/>
        </w:tcPr>
        <w:p w:rsidR="002A4417" w:rsidRPr="00C209FA" w:rsidRDefault="00C209FA" w:rsidP="002A4417">
          <w:pPr>
            <w:pStyle w:val="NTGFooter1items"/>
            <w:rPr>
              <w:b/>
            </w:rPr>
          </w:pPr>
          <w:r>
            <w:rPr>
              <w:rStyle w:val="NTGFooterDepartmentofChar"/>
            </w:rPr>
            <w:t xml:space="preserve">DEPARTMENT OF </w:t>
          </w:r>
          <w:r w:rsidRPr="00C209FA">
            <w:rPr>
              <w:rStyle w:val="NTGFooterDepartmentofChar"/>
              <w:b/>
            </w:rPr>
            <w:t>TREASURY AND FINANCE</w:t>
          </w:r>
        </w:p>
        <w:p w:rsidR="00983000" w:rsidRPr="007B5DA2" w:rsidRDefault="002A4417" w:rsidP="003A54E2">
          <w:pPr>
            <w:pStyle w:val="NTGFooter1items"/>
          </w:pPr>
          <w:r w:rsidRPr="00055781">
            <w:rPr>
              <w:rStyle w:val="NTGFooter1itemsChar"/>
            </w:rPr>
            <w:t xml:space="preserve">Page </w:t>
          </w:r>
          <w:r w:rsidRPr="00055781">
            <w:rPr>
              <w:rStyle w:val="NTGFooter1itemsChar"/>
            </w:rPr>
            <w:fldChar w:fldCharType="begin"/>
          </w:r>
          <w:r w:rsidRPr="00055781">
            <w:rPr>
              <w:rStyle w:val="NTGFooter1itemsChar"/>
            </w:rPr>
            <w:instrText xml:space="preserve"> PAGE  \* Arabic  \* MERGEFORMAT </w:instrText>
          </w:r>
          <w:r w:rsidRPr="00055781">
            <w:rPr>
              <w:rStyle w:val="NTGFooter1itemsChar"/>
            </w:rPr>
            <w:fldChar w:fldCharType="separate"/>
          </w:r>
          <w:r w:rsidR="00E968DC">
            <w:rPr>
              <w:rStyle w:val="NTGFooter1itemsChar"/>
              <w:noProof/>
            </w:rPr>
            <w:t>1</w:t>
          </w:r>
          <w:r w:rsidRPr="00055781">
            <w:rPr>
              <w:rStyle w:val="NTGFooter1itemsChar"/>
            </w:rPr>
            <w:fldChar w:fldCharType="end"/>
          </w:r>
          <w:r w:rsidRPr="00055781">
            <w:rPr>
              <w:rStyle w:val="NTGFooter1itemsChar"/>
            </w:rPr>
            <w:t xml:space="preserve"> of </w:t>
          </w:r>
          <w:r w:rsidRPr="00055781">
            <w:rPr>
              <w:rStyle w:val="NTGFooter1itemsChar"/>
            </w:rPr>
            <w:fldChar w:fldCharType="begin"/>
          </w:r>
          <w:r w:rsidRPr="00055781">
            <w:rPr>
              <w:rStyle w:val="NTGFooter1itemsChar"/>
            </w:rPr>
            <w:instrText xml:space="preserve"> NUMPAGES  \* Arabic  \* MERGEFORMAT </w:instrText>
          </w:r>
          <w:r w:rsidRPr="00055781">
            <w:rPr>
              <w:rStyle w:val="NTGFooter1itemsChar"/>
            </w:rPr>
            <w:fldChar w:fldCharType="separate"/>
          </w:r>
          <w:r w:rsidR="00E968DC">
            <w:rPr>
              <w:rStyle w:val="NTGFooter1itemsChar"/>
              <w:noProof/>
            </w:rPr>
            <w:t>3</w:t>
          </w:r>
          <w:r w:rsidRPr="00055781">
            <w:rPr>
              <w:rStyle w:val="NTGFooter1itemsChar"/>
            </w:rPr>
            <w:fldChar w:fldCharType="end"/>
          </w:r>
          <w:r w:rsidRPr="004338E4">
            <w:tab/>
          </w:r>
          <w:r w:rsidR="003A54E2">
            <w:t>July</w:t>
          </w:r>
          <w:r w:rsidR="002374A0">
            <w:t xml:space="preserve"> 2024</w:t>
          </w:r>
          <w:r w:rsidR="00C209FA">
            <w:rPr>
              <w:rStyle w:val="NTGFooter1itemsChar"/>
            </w:rPr>
            <w:t xml:space="preserve">, Version </w:t>
          </w:r>
          <w:r w:rsidR="00401407">
            <w:rPr>
              <w:rStyle w:val="NTGFooter1itemsChar"/>
            </w:rPr>
            <w:t>1</w:t>
          </w:r>
        </w:p>
      </w:tc>
      <w:tc>
        <w:tcPr>
          <w:tcW w:w="6912" w:type="dxa"/>
          <w:vAlign w:val="center"/>
        </w:tcPr>
        <w:p w:rsidR="00983000" w:rsidRPr="001E14EB" w:rsidRDefault="00983000" w:rsidP="00B606A1">
          <w:pPr>
            <w:spacing w:after="0"/>
            <w:jc w:val="right"/>
          </w:pPr>
        </w:p>
      </w:tc>
    </w:tr>
  </w:tbl>
  <w:p w:rsidR="00983000" w:rsidRPr="00543BD1" w:rsidRDefault="00983000" w:rsidP="0016153B">
    <w:pPr>
      <w:pStyle w:val="NoSpacing"/>
      <w:spacing w:after="0"/>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261C" w:rsidRDefault="0086261C" w:rsidP="007332FF">
      <w:r>
        <w:separator/>
      </w:r>
    </w:p>
  </w:footnote>
  <w:footnote w:type="continuationSeparator" w:id="0">
    <w:p w:rsidR="0086261C" w:rsidRDefault="0086261C" w:rsidP="0073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alias w:val="Title"/>
      <w:tag w:val=""/>
      <w:id w:val="1595901116"/>
      <w:dataBinding w:prefixMappings="xmlns:ns0='http://purl.org/dc/elements/1.1/' xmlns:ns1='http://schemas.openxmlformats.org/package/2006/metadata/core-properties' " w:xpath="/ns1:coreProperties[1]/ns0:title[1]" w:storeItemID="{6C3C8BC8-F283-45AE-878A-BAB7291924A1}"/>
      <w:text/>
    </w:sdtPr>
    <w:sdtEndPr/>
    <w:sdtContent>
      <w:p w:rsidR="00983000" w:rsidRDefault="00487440" w:rsidP="002926BC">
        <w:pPr>
          <w:pStyle w:val="Header"/>
          <w:tabs>
            <w:tab w:val="clear" w:pos="9026"/>
          </w:tabs>
          <w:ind w:right="-568"/>
        </w:pPr>
        <w:r>
          <w:t xml:space="preserve">Attachment </w:t>
        </w:r>
        <w:r w:rsidR="001F79EE">
          <w:t>A</w:t>
        </w:r>
        <w:r>
          <w:t xml:space="preserve"> – </w:t>
        </w:r>
        <w:r w:rsidR="001F79EE">
          <w:t>Loss exclusions</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30B" w:rsidRPr="00304604" w:rsidRDefault="00E968DC" w:rsidP="00175C90">
    <w:pPr>
      <w:pStyle w:val="Title"/>
      <w:spacing w:after="120"/>
      <w:rPr>
        <w:rFonts w:ascii="Lato" w:hAnsi="Lato"/>
        <w:color w:val="1F1F5F"/>
      </w:rPr>
    </w:pPr>
    <w:sdt>
      <w:sdtPr>
        <w:rPr>
          <w:rFonts w:ascii="Lato" w:hAnsi="Lato"/>
          <w:color w:val="1F1F5F"/>
        </w:rPr>
        <w:alias w:val="Title"/>
        <w:tag w:val=""/>
        <w:id w:val="-1028412562"/>
        <w:dataBinding w:prefixMappings="xmlns:ns0='http://purl.org/dc/elements/1.1/' xmlns:ns1='http://schemas.openxmlformats.org/package/2006/metadata/core-properties' " w:xpath="/ns1:coreProperties[1]/ns0:title[1]" w:storeItemID="{6C3C8BC8-F283-45AE-878A-BAB7291924A1}"/>
        <w:text/>
      </w:sdtPr>
      <w:sdtEndPr/>
      <w:sdtContent>
        <w:r w:rsidR="001F79EE">
          <w:rPr>
            <w:rFonts w:ascii="Lato" w:hAnsi="Lato"/>
            <w:color w:val="1F1F5F"/>
          </w:rPr>
          <w:t>Attachment A – Loss exclusions</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0980612"/>
    <w:lvl w:ilvl="0">
      <w:start w:val="1"/>
      <w:numFmt w:val="decimal"/>
      <w:lvlText w:val="%1."/>
      <w:lvlJc w:val="left"/>
      <w:pPr>
        <w:tabs>
          <w:tab w:val="num" w:pos="360"/>
        </w:tabs>
        <w:ind w:left="360" w:hanging="360"/>
      </w:pPr>
    </w:lvl>
  </w:abstractNum>
  <w:abstractNum w:abstractNumId="1" w15:restartNumberingAfterBreak="0">
    <w:nsid w:val="074E64B4"/>
    <w:multiLevelType w:val="hybridMultilevel"/>
    <w:tmpl w:val="3C68F1B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B7245D0"/>
    <w:multiLevelType w:val="multilevel"/>
    <w:tmpl w:val="0C78A7AC"/>
    <w:name w:val="NTG Table Bullet List322"/>
    <w:numStyleLink w:val="Tablebulletlist"/>
  </w:abstractNum>
  <w:abstractNum w:abstractNumId="3" w15:restartNumberingAfterBreak="0">
    <w:nsid w:val="0F195B3C"/>
    <w:multiLevelType w:val="multilevel"/>
    <w:tmpl w:val="3928FD02"/>
    <w:name w:val="NTG Table Bullet List3322222"/>
    <w:numStyleLink w:val="Bulletlist"/>
  </w:abstractNum>
  <w:abstractNum w:abstractNumId="4" w15:restartNumberingAfterBreak="0">
    <w:nsid w:val="0FEF020E"/>
    <w:multiLevelType w:val="hybridMultilevel"/>
    <w:tmpl w:val="F3EE9B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00244A1"/>
    <w:multiLevelType w:val="multilevel"/>
    <w:tmpl w:val="0C78A7AC"/>
    <w:name w:val="NTG Table Bullet List332"/>
    <w:numStyleLink w:val="Tablebulletlist"/>
  </w:abstractNum>
  <w:abstractNum w:abstractNumId="6" w15:restartNumberingAfterBreak="0">
    <w:nsid w:val="1012237B"/>
    <w:multiLevelType w:val="multilevel"/>
    <w:tmpl w:val="0C78A7AC"/>
    <w:name w:val="NTG Table Bullet List32"/>
    <w:numStyleLink w:val="Tablebulletlist"/>
  </w:abstractNum>
  <w:abstractNum w:abstractNumId="7" w15:restartNumberingAfterBreak="0">
    <w:nsid w:val="11784BAD"/>
    <w:multiLevelType w:val="hybridMultilevel"/>
    <w:tmpl w:val="E218559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12A1594F"/>
    <w:multiLevelType w:val="multilevel"/>
    <w:tmpl w:val="D4B0E6AE"/>
    <w:lvl w:ilvl="0">
      <w:start w:val="1"/>
      <w:numFmt w:val="decimal"/>
      <w:lvlText w:val="%1."/>
      <w:lvlJc w:val="left"/>
      <w:pPr>
        <w:ind w:left="1022" w:hanging="454"/>
      </w:pPr>
      <w:rPr>
        <w:rFonts w:hint="default"/>
      </w:rPr>
    </w:lvl>
    <w:lvl w:ilvl="1">
      <w:start w:val="1"/>
      <w:numFmt w:val="bullet"/>
      <w:lvlText w:val="o"/>
      <w:lvlJc w:val="left"/>
      <w:pPr>
        <w:ind w:left="1305" w:hanging="454"/>
      </w:pPr>
      <w:rPr>
        <w:rFonts w:ascii="Courier New" w:hAnsi="Courier New" w:cs="Courier New"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9" w15:restartNumberingAfterBreak="0">
    <w:nsid w:val="13736595"/>
    <w:multiLevelType w:val="hybridMultilevel"/>
    <w:tmpl w:val="A5A68472"/>
    <w:lvl w:ilvl="0" w:tplc="11F41B9E">
      <w:start w:val="1"/>
      <w:numFmt w:val="lowerLetter"/>
      <w:lvlText w:val="%1."/>
      <w:lvlJc w:val="left"/>
      <w:pPr>
        <w:ind w:left="720" w:hanging="360"/>
      </w:pPr>
      <w:rPr>
        <w:rFonts w:ascii="Arial" w:hAnsi="Arial" w:hint="default"/>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5E93577"/>
    <w:multiLevelType w:val="multilevel"/>
    <w:tmpl w:val="4E6AC8F6"/>
    <w:name w:val="NTG Table Bullet List33222222"/>
    <w:numStyleLink w:val="Numberlist"/>
  </w:abstractNum>
  <w:abstractNum w:abstractNumId="11" w15:restartNumberingAfterBreak="0">
    <w:nsid w:val="176A7676"/>
    <w:multiLevelType w:val="multilevel"/>
    <w:tmpl w:val="9B4E8F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83F6C93"/>
    <w:multiLevelType w:val="hybridMultilevel"/>
    <w:tmpl w:val="04E8886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3" w15:restartNumberingAfterBreak="0">
    <w:nsid w:val="18A646F0"/>
    <w:multiLevelType w:val="hybridMultilevel"/>
    <w:tmpl w:val="63CC1C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8D26C06"/>
    <w:multiLevelType w:val="multilevel"/>
    <w:tmpl w:val="3E5E177A"/>
    <w:name w:val="NTG Table Bullet List33222222222222222"/>
    <w:numStyleLink w:val="Tablenumberlist"/>
  </w:abstractNum>
  <w:abstractNum w:abstractNumId="15" w15:restartNumberingAfterBreak="0">
    <w:nsid w:val="19533A06"/>
    <w:multiLevelType w:val="multilevel"/>
    <w:tmpl w:val="3928FD02"/>
    <w:name w:val="NTG Table Bullet List3222"/>
    <w:numStyleLink w:val="Bulletlist"/>
  </w:abstractNum>
  <w:abstractNum w:abstractNumId="16" w15:restartNumberingAfterBreak="0">
    <w:nsid w:val="19AE65C9"/>
    <w:multiLevelType w:val="multilevel"/>
    <w:tmpl w:val="39746A98"/>
    <w:lvl w:ilvl="0">
      <w:start w:val="1"/>
      <w:numFmt w:val="decimal"/>
      <w:pStyle w:val="Tablenumberlistlevel1"/>
      <w:lvlText w:val="%1."/>
      <w:lvlJc w:val="left"/>
      <w:pPr>
        <w:ind w:left="284" w:hanging="284"/>
      </w:pPr>
      <w:rPr>
        <w:rFonts w:hint="default"/>
      </w:rPr>
    </w:lvl>
    <w:lvl w:ilvl="1">
      <w:start w:val="1"/>
      <w:numFmt w:val="lowerLetter"/>
      <w:pStyle w:val="Tablenumberlistlevel2"/>
      <w:lvlText w:val="%2."/>
      <w:lvlJc w:val="left"/>
      <w:pPr>
        <w:ind w:left="567" w:hanging="283"/>
      </w:pPr>
      <w:rPr>
        <w:rFonts w:hint="default"/>
      </w:rPr>
    </w:lvl>
    <w:lvl w:ilvl="2">
      <w:start w:val="1"/>
      <w:numFmt w:val="lowerRoman"/>
      <w:pStyle w:val="Tablenumberlistlevel3"/>
      <w:lvlText w:val="%3."/>
      <w:lvlJc w:val="left"/>
      <w:pPr>
        <w:ind w:left="851" w:hanging="284"/>
      </w:pPr>
      <w:rPr>
        <w:rFonts w:hint="default"/>
      </w:rPr>
    </w:lvl>
    <w:lvl w:ilvl="3">
      <w:start w:val="1"/>
      <w:numFmt w:val="decimal"/>
      <w:pStyle w:val="Tablenumberlistlevel4"/>
      <w:lvlText w:val="(%4)"/>
      <w:lvlJc w:val="left"/>
      <w:pPr>
        <w:ind w:left="1134" w:hanging="283"/>
      </w:pPr>
      <w:rPr>
        <w:rFonts w:hint="default"/>
      </w:rPr>
    </w:lvl>
    <w:lvl w:ilvl="4">
      <w:start w:val="1"/>
      <w:numFmt w:val="lowerLetter"/>
      <w:pStyle w:val="Tablenumberlistlevel5"/>
      <w:lvlText w:val="(%5)"/>
      <w:lvlJc w:val="left"/>
      <w:pPr>
        <w:ind w:left="1418" w:hanging="284"/>
      </w:pPr>
      <w:rPr>
        <w:rFonts w:hint="default"/>
      </w:rPr>
    </w:lvl>
    <w:lvl w:ilvl="5">
      <w:start w:val="1"/>
      <w:numFmt w:val="lowerRoman"/>
      <w:pStyle w:val="Tablenumberlistlevel6"/>
      <w:lvlText w:val="(%6)"/>
      <w:lvlJc w:val="left"/>
      <w:pPr>
        <w:ind w:left="1701" w:hanging="283"/>
      </w:pPr>
      <w:rPr>
        <w:rFonts w:hint="default"/>
      </w:rPr>
    </w:lvl>
    <w:lvl w:ilvl="6">
      <w:start w:val="1"/>
      <w:numFmt w:val="decimal"/>
      <w:pStyle w:val="Tablenumberlistlevel7"/>
      <w:lvlText w:val="%7."/>
      <w:lvlJc w:val="left"/>
      <w:pPr>
        <w:ind w:left="1985" w:hanging="284"/>
      </w:pPr>
      <w:rPr>
        <w:rFonts w:hint="default"/>
      </w:rPr>
    </w:lvl>
    <w:lvl w:ilvl="7">
      <w:start w:val="1"/>
      <w:numFmt w:val="lowerLetter"/>
      <w:pStyle w:val="Tablenumberlistlevel8"/>
      <w:lvlText w:val="%8."/>
      <w:lvlJc w:val="left"/>
      <w:pPr>
        <w:ind w:left="2268" w:hanging="283"/>
      </w:pPr>
      <w:rPr>
        <w:rFonts w:hint="default"/>
      </w:rPr>
    </w:lvl>
    <w:lvl w:ilvl="8">
      <w:start w:val="1"/>
      <w:numFmt w:val="lowerRoman"/>
      <w:pStyle w:val="Tablenumberlistlevel9"/>
      <w:lvlText w:val="%9."/>
      <w:lvlJc w:val="left"/>
      <w:pPr>
        <w:ind w:left="2552" w:hanging="284"/>
      </w:pPr>
      <w:rPr>
        <w:rFonts w:hint="default"/>
      </w:rPr>
    </w:lvl>
  </w:abstractNum>
  <w:abstractNum w:abstractNumId="17" w15:restartNumberingAfterBreak="0">
    <w:nsid w:val="1ACF294D"/>
    <w:multiLevelType w:val="hybridMultilevel"/>
    <w:tmpl w:val="4C9698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1B26429D"/>
    <w:multiLevelType w:val="multilevel"/>
    <w:tmpl w:val="3E5E177A"/>
    <w:name w:val="NTG Table Bullet List33222222222"/>
    <w:numStyleLink w:val="Tablenumberlist"/>
  </w:abstractNum>
  <w:abstractNum w:abstractNumId="19" w15:restartNumberingAfterBreak="0">
    <w:nsid w:val="1B86276C"/>
    <w:multiLevelType w:val="multilevel"/>
    <w:tmpl w:val="3928FD02"/>
    <w:name w:val="NTG Table Bullet List32223"/>
    <w:numStyleLink w:val="Bulletlist"/>
  </w:abstractNum>
  <w:abstractNum w:abstractNumId="20" w15:restartNumberingAfterBreak="0">
    <w:nsid w:val="1C2B5570"/>
    <w:multiLevelType w:val="multilevel"/>
    <w:tmpl w:val="F36AD9F6"/>
    <w:numStyleLink w:val="NTGTableList"/>
  </w:abstractNum>
  <w:abstractNum w:abstractNumId="21" w15:restartNumberingAfterBreak="0">
    <w:nsid w:val="1D0744AE"/>
    <w:multiLevelType w:val="multilevel"/>
    <w:tmpl w:val="3E5E177A"/>
    <w:name w:val="NTG Table Bullet List3222322"/>
    <w:numStyleLink w:val="Tablenumberlist"/>
  </w:abstractNum>
  <w:abstractNum w:abstractNumId="22" w15:restartNumberingAfterBreak="0">
    <w:nsid w:val="206C0258"/>
    <w:multiLevelType w:val="multilevel"/>
    <w:tmpl w:val="277409E6"/>
    <w:lvl w:ilvl="0">
      <w:start w:val="1"/>
      <w:numFmt w:val="decimal"/>
      <w:lvlText w:val="%1."/>
      <w:lvlJc w:val="left"/>
      <w:pPr>
        <w:ind w:left="1022" w:hanging="454"/>
      </w:pPr>
      <w:rPr>
        <w:rFonts w:hint="default"/>
      </w:rPr>
    </w:lvl>
    <w:lvl w:ilvl="1">
      <w:start w:val="1"/>
      <w:numFmt w:val="bullet"/>
      <w:lvlText w:val=""/>
      <w:lvlJc w:val="left"/>
      <w:pPr>
        <w:ind w:left="1305" w:hanging="454"/>
      </w:pPr>
      <w:rPr>
        <w:rFonts w:ascii="Symbol" w:hAnsi="Symbol"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abstractNum w:abstractNumId="23" w15:restartNumberingAfterBreak="0">
    <w:nsid w:val="21143DF6"/>
    <w:multiLevelType w:val="hybridMultilevel"/>
    <w:tmpl w:val="79A2BD66"/>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22182E8A"/>
    <w:multiLevelType w:val="multilevel"/>
    <w:tmpl w:val="4E6AC8F6"/>
    <w:styleLink w:val="Number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25" w15:restartNumberingAfterBreak="0">
    <w:nsid w:val="233C7864"/>
    <w:multiLevelType w:val="hybridMultilevel"/>
    <w:tmpl w:val="EDB4986A"/>
    <w:lvl w:ilvl="0" w:tplc="0C090019">
      <w:start w:val="1"/>
      <w:numFmt w:val="lowerLetter"/>
      <w:lvlText w:val="%1."/>
      <w:lvlJc w:val="left"/>
      <w:pPr>
        <w:ind w:left="1077" w:hanging="360"/>
      </w:p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6" w15:restartNumberingAfterBreak="0">
    <w:nsid w:val="272E3F76"/>
    <w:multiLevelType w:val="multilevel"/>
    <w:tmpl w:val="3E5E177A"/>
    <w:name w:val="NTG Table Bullet List3322"/>
    <w:numStyleLink w:val="Tablenumberlist"/>
  </w:abstractNum>
  <w:abstractNum w:abstractNumId="27" w15:restartNumberingAfterBreak="0">
    <w:nsid w:val="27CE4608"/>
    <w:multiLevelType w:val="multilevel"/>
    <w:tmpl w:val="3E5E177A"/>
    <w:name w:val="NTG Table Bullet List33222"/>
    <w:numStyleLink w:val="Tablenumberlist"/>
  </w:abstractNum>
  <w:abstractNum w:abstractNumId="28" w15:restartNumberingAfterBreak="0">
    <w:nsid w:val="27D83E4D"/>
    <w:multiLevelType w:val="multilevel"/>
    <w:tmpl w:val="3928FD02"/>
    <w:numStyleLink w:val="Bulletlist"/>
  </w:abstractNum>
  <w:abstractNum w:abstractNumId="29" w15:restartNumberingAfterBreak="0">
    <w:nsid w:val="2A59584B"/>
    <w:multiLevelType w:val="multilevel"/>
    <w:tmpl w:val="F36AD9F6"/>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rPr>
    </w:lvl>
    <w:lvl w:ilvl="3">
      <w:start w:val="1"/>
      <w:numFmt w:val="bullet"/>
      <w:pStyle w:val="NTGTableBulletList4"/>
      <w:lvlText w:val=""/>
      <w:lvlJc w:val="left"/>
      <w:pPr>
        <w:ind w:left="1134" w:hanging="283"/>
      </w:pPr>
      <w:rPr>
        <w:rFonts w:ascii="Wingdings" w:hAnsi="Wingdings" w:hint="default"/>
      </w:rPr>
    </w:lvl>
    <w:lvl w:ilvl="4">
      <w:start w:val="1"/>
      <w:numFmt w:val="bullet"/>
      <w:pStyle w:val="NTGTableBulletList5"/>
      <w:lvlText w:val=""/>
      <w:lvlJc w:val="left"/>
      <w:pPr>
        <w:ind w:left="1418" w:hanging="284"/>
      </w:pPr>
      <w:rPr>
        <w:rFonts w:ascii="Symbol" w:hAnsi="Symbol" w:hint="default"/>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30" w15:restartNumberingAfterBreak="0">
    <w:nsid w:val="2D392732"/>
    <w:multiLevelType w:val="multilevel"/>
    <w:tmpl w:val="3E5E177A"/>
    <w:name w:val="NTG Table Bullet List322232"/>
    <w:styleLink w:val="Tablenumberlist"/>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lowerRoman"/>
      <w:lvlText w:val="%3."/>
      <w:lvlJc w:val="left"/>
      <w:pPr>
        <w:ind w:left="851" w:hanging="284"/>
      </w:pPr>
      <w:rPr>
        <w:rFonts w:hint="default"/>
      </w:rPr>
    </w:lvl>
    <w:lvl w:ilvl="3">
      <w:start w:val="1"/>
      <w:numFmt w:val="decimal"/>
      <w:lvlText w:val="(%4)"/>
      <w:lvlJc w:val="left"/>
      <w:pPr>
        <w:ind w:left="1134" w:hanging="283"/>
      </w:pPr>
      <w:rPr>
        <w:rFonts w:hint="default"/>
      </w:rPr>
    </w:lvl>
    <w:lvl w:ilvl="4">
      <w:start w:val="1"/>
      <w:numFmt w:val="lowerLetter"/>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31" w15:restartNumberingAfterBreak="0">
    <w:nsid w:val="2E693641"/>
    <w:multiLevelType w:val="multilevel"/>
    <w:tmpl w:val="3E5E177A"/>
    <w:name w:val="NTG Table Bullet List33"/>
    <w:numStyleLink w:val="Tablenumberlist"/>
  </w:abstractNum>
  <w:abstractNum w:abstractNumId="32" w15:restartNumberingAfterBreak="0">
    <w:nsid w:val="2EF077BC"/>
    <w:multiLevelType w:val="multilevel"/>
    <w:tmpl w:val="0C78A7AC"/>
    <w:name w:val="NTG Table Bullet List33222222222222222222"/>
    <w:numStyleLink w:val="Tablebulletlist"/>
  </w:abstractNum>
  <w:abstractNum w:abstractNumId="33" w15:restartNumberingAfterBreak="0">
    <w:nsid w:val="32DF44DA"/>
    <w:multiLevelType w:val="multilevel"/>
    <w:tmpl w:val="3E5E177A"/>
    <w:name w:val="NTG Table Bullet List3222323"/>
    <w:numStyleLink w:val="Tablenumberlist"/>
  </w:abstractNum>
  <w:abstractNum w:abstractNumId="34" w15:restartNumberingAfterBreak="0">
    <w:nsid w:val="33DB14EA"/>
    <w:multiLevelType w:val="hybridMultilevel"/>
    <w:tmpl w:val="FAAC5902"/>
    <w:lvl w:ilvl="0" w:tplc="0C09001B">
      <w:start w:val="1"/>
      <w:numFmt w:val="lowerRoman"/>
      <w:lvlText w:val="%1."/>
      <w:lvlJc w:val="right"/>
      <w:pPr>
        <w:ind w:left="1429" w:hanging="360"/>
      </w:pPr>
    </w:lvl>
    <w:lvl w:ilvl="1" w:tplc="0C090019" w:tentative="1">
      <w:start w:val="1"/>
      <w:numFmt w:val="lowerLetter"/>
      <w:lvlText w:val="%2."/>
      <w:lvlJc w:val="left"/>
      <w:pPr>
        <w:ind w:left="2149" w:hanging="360"/>
      </w:pPr>
    </w:lvl>
    <w:lvl w:ilvl="2" w:tplc="0C09001B" w:tentative="1">
      <w:start w:val="1"/>
      <w:numFmt w:val="lowerRoman"/>
      <w:lvlText w:val="%3."/>
      <w:lvlJc w:val="right"/>
      <w:pPr>
        <w:ind w:left="2869" w:hanging="180"/>
      </w:pPr>
    </w:lvl>
    <w:lvl w:ilvl="3" w:tplc="0C09000F" w:tentative="1">
      <w:start w:val="1"/>
      <w:numFmt w:val="decimal"/>
      <w:lvlText w:val="%4."/>
      <w:lvlJc w:val="left"/>
      <w:pPr>
        <w:ind w:left="3589" w:hanging="360"/>
      </w:pPr>
    </w:lvl>
    <w:lvl w:ilvl="4" w:tplc="0C090019" w:tentative="1">
      <w:start w:val="1"/>
      <w:numFmt w:val="lowerLetter"/>
      <w:lvlText w:val="%5."/>
      <w:lvlJc w:val="left"/>
      <w:pPr>
        <w:ind w:left="4309" w:hanging="360"/>
      </w:pPr>
    </w:lvl>
    <w:lvl w:ilvl="5" w:tplc="0C09001B" w:tentative="1">
      <w:start w:val="1"/>
      <w:numFmt w:val="lowerRoman"/>
      <w:lvlText w:val="%6."/>
      <w:lvlJc w:val="right"/>
      <w:pPr>
        <w:ind w:left="5029" w:hanging="180"/>
      </w:pPr>
    </w:lvl>
    <w:lvl w:ilvl="6" w:tplc="0C09000F" w:tentative="1">
      <w:start w:val="1"/>
      <w:numFmt w:val="decimal"/>
      <w:lvlText w:val="%7."/>
      <w:lvlJc w:val="left"/>
      <w:pPr>
        <w:ind w:left="5749" w:hanging="360"/>
      </w:pPr>
    </w:lvl>
    <w:lvl w:ilvl="7" w:tplc="0C090019" w:tentative="1">
      <w:start w:val="1"/>
      <w:numFmt w:val="lowerLetter"/>
      <w:lvlText w:val="%8."/>
      <w:lvlJc w:val="left"/>
      <w:pPr>
        <w:ind w:left="6469" w:hanging="360"/>
      </w:pPr>
    </w:lvl>
    <w:lvl w:ilvl="8" w:tplc="0C09001B" w:tentative="1">
      <w:start w:val="1"/>
      <w:numFmt w:val="lowerRoman"/>
      <w:lvlText w:val="%9."/>
      <w:lvlJc w:val="right"/>
      <w:pPr>
        <w:ind w:left="7189" w:hanging="180"/>
      </w:pPr>
    </w:lvl>
  </w:abstractNum>
  <w:abstractNum w:abstractNumId="35" w15:restartNumberingAfterBreak="0">
    <w:nsid w:val="365F1189"/>
    <w:multiLevelType w:val="hybridMultilevel"/>
    <w:tmpl w:val="C930DB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36744DFA"/>
    <w:multiLevelType w:val="multilevel"/>
    <w:tmpl w:val="3928FD02"/>
    <w:styleLink w:val="Bulletlist"/>
    <w:lvl w:ilvl="0">
      <w:start w:val="1"/>
      <w:numFmt w:val="bullet"/>
      <w:pStyle w:val="ListBullet"/>
      <w:lvlText w:val=""/>
      <w:lvlJc w:val="left"/>
      <w:pPr>
        <w:ind w:left="357" w:hanging="357"/>
      </w:pPr>
      <w:rPr>
        <w:rFonts w:ascii="Symbol" w:hAnsi="Symbol" w:hint="default"/>
        <w:color w:val="auto"/>
      </w:rPr>
    </w:lvl>
    <w:lvl w:ilvl="1">
      <w:start w:val="1"/>
      <w:numFmt w:val="bullet"/>
      <w:pStyle w:val="ListBullet2"/>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7" w15:restartNumberingAfterBreak="0">
    <w:nsid w:val="37ED38B1"/>
    <w:multiLevelType w:val="hybridMultilevel"/>
    <w:tmpl w:val="26B2FE4E"/>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8" w15:restartNumberingAfterBreak="0">
    <w:nsid w:val="3BE61945"/>
    <w:multiLevelType w:val="multilevel"/>
    <w:tmpl w:val="3928FD02"/>
    <w:name w:val="NTG Table Bullet List332222222222222222"/>
    <w:numStyleLink w:val="Bulletlist"/>
  </w:abstractNum>
  <w:abstractNum w:abstractNumId="39" w15:restartNumberingAfterBreak="0">
    <w:nsid w:val="3D0102D5"/>
    <w:multiLevelType w:val="hybridMultilevel"/>
    <w:tmpl w:val="91781B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418B4474"/>
    <w:multiLevelType w:val="multilevel"/>
    <w:tmpl w:val="4E6AC8F6"/>
    <w:lvl w:ilvl="0">
      <w:start w:val="1"/>
      <w:numFmt w:val="decimal"/>
      <w:lvlText w:val="%1."/>
      <w:lvlJc w:val="left"/>
      <w:pPr>
        <w:ind w:left="2768" w:hanging="357"/>
      </w:pPr>
      <w:rPr>
        <w:rFonts w:hint="default"/>
      </w:rPr>
    </w:lvl>
    <w:lvl w:ilvl="1">
      <w:start w:val="1"/>
      <w:numFmt w:val="lowerLetter"/>
      <w:lvlText w:val="%2."/>
      <w:lvlJc w:val="left"/>
      <w:pPr>
        <w:ind w:left="925"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41" w15:restartNumberingAfterBreak="0">
    <w:nsid w:val="421261AF"/>
    <w:multiLevelType w:val="hybridMultilevel"/>
    <w:tmpl w:val="9D4E3024"/>
    <w:lvl w:ilvl="0" w:tplc="0C09001B">
      <w:start w:val="1"/>
      <w:numFmt w:val="lowerRoman"/>
      <w:lvlText w:val="%1."/>
      <w:lvlJc w:val="righ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495749C3"/>
    <w:multiLevelType w:val="hybridMultilevel"/>
    <w:tmpl w:val="042EC2E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49FD3A20"/>
    <w:multiLevelType w:val="multilevel"/>
    <w:tmpl w:val="3E5E177A"/>
    <w:name w:val="NTG Table Bullet List3322222222222"/>
    <w:numStyleLink w:val="Tablenumberlist"/>
  </w:abstractNum>
  <w:abstractNum w:abstractNumId="44" w15:restartNumberingAfterBreak="0">
    <w:nsid w:val="4BB76081"/>
    <w:multiLevelType w:val="multilevel"/>
    <w:tmpl w:val="0C78A7AC"/>
    <w:styleLink w:val="Tablebulletlist"/>
    <w:lvl w:ilvl="0">
      <w:start w:val="1"/>
      <w:numFmt w:val="bullet"/>
      <w:pStyle w:val="Tablebulletlistlevel1"/>
      <w:lvlText w:val=""/>
      <w:lvlJc w:val="left"/>
      <w:pPr>
        <w:ind w:left="284" w:hanging="284"/>
      </w:pPr>
      <w:rPr>
        <w:rFonts w:ascii="Symbol" w:hAnsi="Symbol" w:hint="default"/>
        <w:color w:val="auto"/>
      </w:rPr>
    </w:lvl>
    <w:lvl w:ilvl="1">
      <w:start w:val="1"/>
      <w:numFmt w:val="bullet"/>
      <w:pStyle w:val="Tablebulletlistlevel2"/>
      <w:lvlText w:val="o"/>
      <w:lvlJc w:val="left"/>
      <w:pPr>
        <w:ind w:left="567" w:hanging="283"/>
      </w:pPr>
      <w:rPr>
        <w:rFonts w:ascii="Courier New" w:hAnsi="Courier New" w:hint="default"/>
      </w:rPr>
    </w:lvl>
    <w:lvl w:ilvl="2">
      <w:start w:val="1"/>
      <w:numFmt w:val="bullet"/>
      <w:pStyle w:val="Tablebulletlistlevel3"/>
      <w:lvlText w:val=""/>
      <w:lvlJc w:val="left"/>
      <w:pPr>
        <w:ind w:left="851" w:hanging="284"/>
      </w:pPr>
      <w:rPr>
        <w:rFonts w:ascii="Wingdings" w:hAnsi="Wingdings" w:hint="default"/>
        <w:color w:val="auto"/>
      </w:rPr>
    </w:lvl>
    <w:lvl w:ilvl="3">
      <w:start w:val="1"/>
      <w:numFmt w:val="bullet"/>
      <w:pStyle w:val="Tablebulletlistlevel4"/>
      <w:lvlText w:val=""/>
      <w:lvlJc w:val="left"/>
      <w:pPr>
        <w:ind w:left="1134" w:hanging="283"/>
      </w:pPr>
      <w:rPr>
        <w:rFonts w:ascii="Wingdings" w:hAnsi="Wingdings" w:hint="default"/>
        <w:color w:val="auto"/>
      </w:rPr>
    </w:lvl>
    <w:lvl w:ilvl="4">
      <w:start w:val="1"/>
      <w:numFmt w:val="bullet"/>
      <w:pStyle w:val="Tablebulletlistlevel5"/>
      <w:lvlText w:val=""/>
      <w:lvlJc w:val="left"/>
      <w:pPr>
        <w:ind w:left="1418" w:hanging="284"/>
      </w:pPr>
      <w:rPr>
        <w:rFonts w:ascii="Symbol" w:hAnsi="Symbol" w:hint="default"/>
        <w:color w:val="auto"/>
      </w:rPr>
    </w:lvl>
    <w:lvl w:ilvl="5">
      <w:start w:val="1"/>
      <w:numFmt w:val="bullet"/>
      <w:pStyle w:val="Tablebulletlistlevel6"/>
      <w:lvlText w:val=""/>
      <w:lvlJc w:val="left"/>
      <w:pPr>
        <w:ind w:left="1701" w:hanging="283"/>
      </w:pPr>
      <w:rPr>
        <w:rFonts w:ascii="Symbol" w:hAnsi="Symbol" w:hint="default"/>
        <w:color w:val="auto"/>
      </w:rPr>
    </w:lvl>
    <w:lvl w:ilvl="6">
      <w:start w:val="1"/>
      <w:numFmt w:val="bullet"/>
      <w:pStyle w:val="Tablebulletlistlevel7"/>
      <w:lvlText w:val="o"/>
      <w:lvlJc w:val="left"/>
      <w:pPr>
        <w:ind w:left="1985" w:hanging="284"/>
      </w:pPr>
      <w:rPr>
        <w:rFonts w:ascii="Courier New" w:hAnsi="Courier New" w:hint="default"/>
        <w:color w:val="auto"/>
      </w:rPr>
    </w:lvl>
    <w:lvl w:ilvl="7">
      <w:start w:val="1"/>
      <w:numFmt w:val="bullet"/>
      <w:pStyle w:val="Tablebulletlistlevel8"/>
      <w:lvlText w:val=""/>
      <w:lvlJc w:val="left"/>
      <w:pPr>
        <w:ind w:left="2268" w:hanging="283"/>
      </w:pPr>
      <w:rPr>
        <w:rFonts w:ascii="Wingdings" w:hAnsi="Wingdings" w:hint="default"/>
        <w:color w:val="auto"/>
      </w:rPr>
    </w:lvl>
    <w:lvl w:ilvl="8">
      <w:start w:val="1"/>
      <w:numFmt w:val="bullet"/>
      <w:pStyle w:val="Tablebulletlistlevel9"/>
      <w:lvlText w:val=""/>
      <w:lvlJc w:val="left"/>
      <w:pPr>
        <w:ind w:left="2552" w:hanging="284"/>
      </w:pPr>
      <w:rPr>
        <w:rFonts w:ascii="Wingdings" w:hAnsi="Wingdings" w:hint="default"/>
        <w:color w:val="auto"/>
      </w:rPr>
    </w:lvl>
  </w:abstractNum>
  <w:abstractNum w:abstractNumId="45" w15:restartNumberingAfterBreak="0">
    <w:nsid w:val="4D5634AF"/>
    <w:multiLevelType w:val="multilevel"/>
    <w:tmpl w:val="2BBEA3BA"/>
    <w:name w:val="NTG Table Bullet List"/>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46" w15:restartNumberingAfterBreak="0">
    <w:nsid w:val="4D90555D"/>
    <w:multiLevelType w:val="multilevel"/>
    <w:tmpl w:val="4E6AC8F6"/>
    <w:styleLink w:val="NTGStandardNumList"/>
    <w:lvl w:ilvl="0">
      <w:start w:val="1"/>
      <w:numFmt w:val="decimal"/>
      <w:lvlText w:val="%1."/>
      <w:lvlJc w:val="left"/>
      <w:pPr>
        <w:ind w:left="2768" w:hanging="357"/>
      </w:pPr>
      <w:rPr>
        <w:rFonts w:hint="default"/>
      </w:rPr>
    </w:lvl>
    <w:lvl w:ilvl="1">
      <w:start w:val="1"/>
      <w:numFmt w:val="lowerLetter"/>
      <w:lvlText w:val="%2."/>
      <w:lvlJc w:val="left"/>
      <w:pPr>
        <w:ind w:left="925" w:hanging="357"/>
      </w:pPr>
      <w:rPr>
        <w:rFonts w:hint="default"/>
      </w:rPr>
    </w:lvl>
    <w:lvl w:ilvl="2">
      <w:start w:val="1"/>
      <w:numFmt w:val="lowerRoman"/>
      <w:lvlText w:val="%3."/>
      <w:lvlJc w:val="left"/>
      <w:pPr>
        <w:tabs>
          <w:tab w:val="num" w:pos="714"/>
        </w:tabs>
        <w:ind w:left="1071" w:hanging="357"/>
      </w:pPr>
      <w:rPr>
        <w:rFonts w:hint="default"/>
      </w:rPr>
    </w:lvl>
    <w:lvl w:ilvl="3">
      <w:start w:val="1"/>
      <w:numFmt w:val="decimal"/>
      <w:lvlText w:val="(%4)"/>
      <w:lvlJc w:val="left"/>
      <w:pPr>
        <w:tabs>
          <w:tab w:val="num" w:pos="1072"/>
        </w:tabs>
        <w:ind w:left="1428" w:hanging="357"/>
      </w:pPr>
      <w:rPr>
        <w:rFonts w:hint="default"/>
      </w:rPr>
    </w:lvl>
    <w:lvl w:ilvl="4">
      <w:start w:val="1"/>
      <w:numFmt w:val="lowerLetter"/>
      <w:lvlText w:val="(%5)"/>
      <w:lvlJc w:val="left"/>
      <w:pPr>
        <w:tabs>
          <w:tab w:val="num" w:pos="1435"/>
        </w:tabs>
        <w:ind w:left="1785" w:hanging="357"/>
      </w:pPr>
      <w:rPr>
        <w:rFonts w:hint="default"/>
      </w:rPr>
    </w:lvl>
    <w:lvl w:ilvl="5">
      <w:start w:val="1"/>
      <w:numFmt w:val="lowerRoman"/>
      <w:lvlText w:val="(%6)"/>
      <w:lvlJc w:val="left"/>
      <w:pPr>
        <w:tabs>
          <w:tab w:val="num" w:pos="1786"/>
        </w:tabs>
        <w:ind w:left="2142" w:hanging="357"/>
      </w:pPr>
      <w:rPr>
        <w:rFonts w:hint="default"/>
      </w:rPr>
    </w:lvl>
    <w:lvl w:ilvl="6">
      <w:start w:val="1"/>
      <w:numFmt w:val="decimal"/>
      <w:lvlText w:val="%7."/>
      <w:lvlJc w:val="left"/>
      <w:pPr>
        <w:tabs>
          <w:tab w:val="num" w:pos="2143"/>
        </w:tabs>
        <w:ind w:left="2499" w:hanging="357"/>
      </w:pPr>
      <w:rPr>
        <w:rFonts w:hint="default"/>
      </w:rPr>
    </w:lvl>
    <w:lvl w:ilvl="7">
      <w:start w:val="1"/>
      <w:numFmt w:val="lowerLetter"/>
      <w:lvlText w:val="%8."/>
      <w:lvlJc w:val="left"/>
      <w:pPr>
        <w:tabs>
          <w:tab w:val="num" w:pos="2500"/>
        </w:tabs>
        <w:ind w:left="2856" w:hanging="357"/>
      </w:pPr>
      <w:rPr>
        <w:rFonts w:hint="default"/>
      </w:rPr>
    </w:lvl>
    <w:lvl w:ilvl="8">
      <w:start w:val="1"/>
      <w:numFmt w:val="lowerRoman"/>
      <w:lvlText w:val="%9."/>
      <w:lvlJc w:val="left"/>
      <w:pPr>
        <w:tabs>
          <w:tab w:val="num" w:pos="2858"/>
        </w:tabs>
        <w:ind w:left="3213" w:hanging="357"/>
      </w:pPr>
      <w:rPr>
        <w:rFonts w:hint="default"/>
      </w:rPr>
    </w:lvl>
  </w:abstractNum>
  <w:abstractNum w:abstractNumId="47" w15:restartNumberingAfterBreak="0">
    <w:nsid w:val="4E084FF5"/>
    <w:multiLevelType w:val="hybridMultilevel"/>
    <w:tmpl w:val="5768B49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4E20744F"/>
    <w:multiLevelType w:val="hybridMultilevel"/>
    <w:tmpl w:val="0C628F70"/>
    <w:lvl w:ilvl="0" w:tplc="0C090019">
      <w:start w:val="1"/>
      <w:numFmt w:val="lowerLetter"/>
      <w:lvlText w:val="%1."/>
      <w:lvlJc w:val="left"/>
      <w:pPr>
        <w:ind w:left="720" w:hanging="360"/>
      </w:pPr>
      <w:rPr>
        <w:rFonts w:hint="default"/>
      </w:rPr>
    </w:lvl>
    <w:lvl w:ilvl="1" w:tplc="0C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15:restartNumberingAfterBreak="0">
    <w:nsid w:val="53842BC6"/>
    <w:multiLevelType w:val="multilevel"/>
    <w:tmpl w:val="0C78A7AC"/>
    <w:numStyleLink w:val="Tablebulletlist"/>
  </w:abstractNum>
  <w:abstractNum w:abstractNumId="50" w15:restartNumberingAfterBreak="0">
    <w:nsid w:val="54D23F9E"/>
    <w:multiLevelType w:val="multilevel"/>
    <w:tmpl w:val="2BBEA3BA"/>
    <w:name w:val="NTG Table Bullet List3222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51" w15:restartNumberingAfterBreak="0">
    <w:nsid w:val="56DA2CAE"/>
    <w:multiLevelType w:val="multilevel"/>
    <w:tmpl w:val="3E5E177A"/>
    <w:name w:val="NTG Table Bullet List332222222222222"/>
    <w:numStyleLink w:val="Tablenumberlist"/>
  </w:abstractNum>
  <w:abstractNum w:abstractNumId="52" w15:restartNumberingAfterBreak="0">
    <w:nsid w:val="583359D9"/>
    <w:multiLevelType w:val="multilevel"/>
    <w:tmpl w:val="3E5E177A"/>
    <w:name w:val="NTG Table Bullet List332222222"/>
    <w:numStyleLink w:val="Tablenumberlist"/>
  </w:abstractNum>
  <w:abstractNum w:abstractNumId="53" w15:restartNumberingAfterBreak="0">
    <w:nsid w:val="589526DF"/>
    <w:multiLevelType w:val="hybridMultilevel"/>
    <w:tmpl w:val="04F0B804"/>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54" w15:restartNumberingAfterBreak="0">
    <w:nsid w:val="5B9A5FFE"/>
    <w:multiLevelType w:val="multilevel"/>
    <w:tmpl w:val="0C78A7AC"/>
    <w:name w:val="NTG Table Bullet List33222222222222"/>
    <w:numStyleLink w:val="Tablebulletlist"/>
  </w:abstractNum>
  <w:abstractNum w:abstractNumId="55" w15:restartNumberingAfterBreak="0">
    <w:nsid w:val="5C9205B7"/>
    <w:multiLevelType w:val="hybridMultilevel"/>
    <w:tmpl w:val="B7C22E1C"/>
    <w:lvl w:ilvl="0" w:tplc="0C090019">
      <w:start w:val="1"/>
      <w:numFmt w:val="lowerLetter"/>
      <w:lvlText w:val="%1."/>
      <w:lvlJc w:val="left"/>
      <w:pPr>
        <w:ind w:left="1077" w:hanging="360"/>
      </w:pPr>
    </w:lvl>
    <w:lvl w:ilvl="1" w:tplc="0C09001B">
      <w:start w:val="1"/>
      <w:numFmt w:val="lowerRoman"/>
      <w:lvlText w:val="%2."/>
      <w:lvlJc w:val="right"/>
      <w:pPr>
        <w:ind w:left="8299" w:hanging="360"/>
      </w:pPr>
    </w:lvl>
    <w:lvl w:ilvl="2" w:tplc="0C09001B">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56" w15:restartNumberingAfterBreak="0">
    <w:nsid w:val="5CF90B9B"/>
    <w:multiLevelType w:val="hybridMultilevel"/>
    <w:tmpl w:val="F1E463D8"/>
    <w:lvl w:ilvl="0" w:tplc="0C090019">
      <w:start w:val="1"/>
      <w:numFmt w:val="lowerLetter"/>
      <w:lvlText w:val="%1."/>
      <w:lvlJc w:val="left"/>
      <w:pPr>
        <w:ind w:left="1004" w:hanging="360"/>
      </w:p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57" w15:restartNumberingAfterBreak="0">
    <w:nsid w:val="5D014AB1"/>
    <w:multiLevelType w:val="hybridMultilevel"/>
    <w:tmpl w:val="4080E2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5D444259"/>
    <w:multiLevelType w:val="multilevel"/>
    <w:tmpl w:val="0C78A7AC"/>
    <w:name w:val="NTG Table Bullet List332222"/>
    <w:numStyleLink w:val="Tablebulletlist"/>
  </w:abstractNum>
  <w:abstractNum w:abstractNumId="59" w15:restartNumberingAfterBreak="0">
    <w:nsid w:val="660940E5"/>
    <w:multiLevelType w:val="hybridMultilevel"/>
    <w:tmpl w:val="0C628F70"/>
    <w:lvl w:ilvl="0" w:tplc="0C090019">
      <w:start w:val="1"/>
      <w:numFmt w:val="lowerLetter"/>
      <w:lvlText w:val="%1."/>
      <w:lvlJc w:val="left"/>
      <w:pPr>
        <w:ind w:left="720" w:hanging="360"/>
      </w:pPr>
      <w:rPr>
        <w:rFonts w:hint="default"/>
      </w:rPr>
    </w:lvl>
    <w:lvl w:ilvl="1" w:tplc="0C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69262556"/>
    <w:multiLevelType w:val="multilevel"/>
    <w:tmpl w:val="3E5E177A"/>
    <w:name w:val="NTG Table Bullet List3322222222222222"/>
    <w:numStyleLink w:val="Tablenumberlist"/>
  </w:abstractNum>
  <w:abstractNum w:abstractNumId="61" w15:restartNumberingAfterBreak="0">
    <w:nsid w:val="69373B5D"/>
    <w:multiLevelType w:val="hybridMultilevel"/>
    <w:tmpl w:val="54665F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15:restartNumberingAfterBreak="0">
    <w:nsid w:val="69E42783"/>
    <w:multiLevelType w:val="hybridMultilevel"/>
    <w:tmpl w:val="FFEA532A"/>
    <w:lvl w:ilvl="0" w:tplc="0C090019">
      <w:start w:val="1"/>
      <w:numFmt w:val="lowerLetter"/>
      <w:lvlText w:val="%1."/>
      <w:lvlJc w:val="left"/>
      <w:pPr>
        <w:ind w:left="1077" w:hanging="360"/>
      </w:pPr>
    </w:lvl>
    <w:lvl w:ilvl="1" w:tplc="0C090019">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63" w15:restartNumberingAfterBreak="0">
    <w:nsid w:val="6EC54338"/>
    <w:multiLevelType w:val="multilevel"/>
    <w:tmpl w:val="F22AFC30"/>
    <w:lvl w:ilvl="0">
      <w:start w:val="1"/>
      <w:numFmt w:val="bullet"/>
      <w:lvlText w:val=""/>
      <w:lvlJc w:val="left"/>
      <w:pPr>
        <w:ind w:left="357" w:hanging="357"/>
      </w:pPr>
      <w:rPr>
        <w:rFonts w:ascii="Symbol" w:hAnsi="Symbol" w:hint="default"/>
      </w:rPr>
    </w:lvl>
    <w:lvl w:ilvl="1">
      <w:start w:val="1"/>
      <w:numFmt w:val="bullet"/>
      <w:lvlText w:val=""/>
      <w:lvlJc w:val="left"/>
      <w:pPr>
        <w:ind w:left="714" w:hanging="357"/>
      </w:pPr>
      <w:rPr>
        <w:rFonts w:ascii="Symbol" w:hAnsi="Symbol"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64" w15:restartNumberingAfterBreak="0">
    <w:nsid w:val="720570A0"/>
    <w:multiLevelType w:val="hybridMultilevel"/>
    <w:tmpl w:val="F836E5A2"/>
    <w:lvl w:ilvl="0" w:tplc="0C090017">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15:restartNumberingAfterBreak="0">
    <w:nsid w:val="7453664D"/>
    <w:multiLevelType w:val="multilevel"/>
    <w:tmpl w:val="0C78A7AC"/>
    <w:name w:val="NTG Table Bullet List3322222222222222222"/>
    <w:numStyleLink w:val="Tablebulletlist"/>
  </w:abstractNum>
  <w:abstractNum w:abstractNumId="66" w15:restartNumberingAfterBreak="0">
    <w:nsid w:val="75E17C53"/>
    <w:multiLevelType w:val="hybridMultilevel"/>
    <w:tmpl w:val="BDEA61C2"/>
    <w:lvl w:ilvl="0" w:tplc="0C090019">
      <w:start w:val="1"/>
      <w:numFmt w:val="lowerLetter"/>
      <w:lvlText w:val="%1."/>
      <w:lvlJc w:val="left"/>
      <w:pPr>
        <w:ind w:left="1077" w:hanging="360"/>
      </w:pPr>
    </w:lvl>
    <w:lvl w:ilvl="1" w:tplc="0C09001B">
      <w:start w:val="1"/>
      <w:numFmt w:val="lowerRoman"/>
      <w:lvlText w:val="%2."/>
      <w:lvlJc w:val="right"/>
      <w:pPr>
        <w:ind w:left="8299" w:hanging="360"/>
      </w:pPr>
    </w:lvl>
    <w:lvl w:ilvl="2" w:tplc="0C09001B">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67" w15:restartNumberingAfterBreak="0">
    <w:nsid w:val="76141D1E"/>
    <w:multiLevelType w:val="multilevel"/>
    <w:tmpl w:val="0C78A7AC"/>
    <w:name w:val="NTG Table Bullet List332222222222"/>
    <w:numStyleLink w:val="Tablebulletlist"/>
  </w:abstractNum>
  <w:abstractNum w:abstractNumId="68" w15:restartNumberingAfterBreak="0">
    <w:nsid w:val="76167C58"/>
    <w:multiLevelType w:val="hybridMultilevel"/>
    <w:tmpl w:val="17A446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79503C9D"/>
    <w:multiLevelType w:val="hybridMultilevel"/>
    <w:tmpl w:val="1EF646C4"/>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70" w15:restartNumberingAfterBreak="0">
    <w:nsid w:val="79CC6470"/>
    <w:multiLevelType w:val="multilevel"/>
    <w:tmpl w:val="0D62A852"/>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1" w15:restartNumberingAfterBreak="0">
    <w:nsid w:val="7D4D35CC"/>
    <w:multiLevelType w:val="hybridMultilevel"/>
    <w:tmpl w:val="16C4E6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 w15:restartNumberingAfterBreak="0">
    <w:nsid w:val="7EB377EB"/>
    <w:multiLevelType w:val="multilevel"/>
    <w:tmpl w:val="2BBEA3BA"/>
    <w:name w:val="NTG Table Bullet List2"/>
    <w:lvl w:ilvl="0">
      <w:start w:val="1"/>
      <w:numFmt w:val="bullet"/>
      <w:lvlText w:val=""/>
      <w:lvlJc w:val="left"/>
      <w:pPr>
        <w:ind w:left="360" w:hanging="360"/>
      </w:pPr>
      <w:rPr>
        <w:rFonts w:ascii="Symbol" w:hAnsi="Symbol" w:hint="default"/>
        <w:color w:val="auto"/>
        <w:sz w:val="22"/>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color w:val="auto"/>
      </w:rPr>
    </w:lvl>
    <w:lvl w:ilvl="6">
      <w:start w:val="1"/>
      <w:numFmt w:val="bullet"/>
      <w:lvlText w:val="o"/>
      <w:lvlJc w:val="left"/>
      <w:pPr>
        <w:ind w:left="2520" w:hanging="360"/>
      </w:pPr>
      <w:rPr>
        <w:rFonts w:ascii="Courier New" w:hAnsi="Courier New" w:hint="default"/>
        <w:color w:val="auto"/>
      </w:rPr>
    </w:lvl>
    <w:lvl w:ilvl="7">
      <w:start w:val="1"/>
      <w:numFmt w:val="bullet"/>
      <w:lvlText w:val=""/>
      <w:lvlJc w:val="left"/>
      <w:pPr>
        <w:ind w:left="2880" w:hanging="360"/>
      </w:pPr>
      <w:rPr>
        <w:rFonts w:ascii="Wingdings" w:hAnsi="Wingdings" w:hint="default"/>
        <w:color w:val="auto"/>
      </w:rPr>
    </w:lvl>
    <w:lvl w:ilvl="8">
      <w:start w:val="1"/>
      <w:numFmt w:val="bullet"/>
      <w:lvlText w:val=""/>
      <w:lvlJc w:val="left"/>
      <w:pPr>
        <w:ind w:left="3240" w:hanging="360"/>
      </w:pPr>
      <w:rPr>
        <w:rFonts w:ascii="Wingdings" w:hAnsi="Wingdings" w:hint="default"/>
        <w:color w:val="auto"/>
      </w:rPr>
    </w:lvl>
  </w:abstractNum>
  <w:abstractNum w:abstractNumId="73" w15:restartNumberingAfterBreak="0">
    <w:nsid w:val="7FBC1511"/>
    <w:multiLevelType w:val="multilevel"/>
    <w:tmpl w:val="0BA072B2"/>
    <w:lvl w:ilvl="0">
      <w:start w:val="1"/>
      <w:numFmt w:val="decimal"/>
      <w:lvlText w:val="%1."/>
      <w:lvlJc w:val="left"/>
      <w:pPr>
        <w:ind w:left="1022" w:hanging="454"/>
      </w:pPr>
      <w:rPr>
        <w:rFonts w:hint="default"/>
      </w:rPr>
    </w:lvl>
    <w:lvl w:ilvl="1">
      <w:start w:val="1"/>
      <w:numFmt w:val="lowerLetter"/>
      <w:lvlText w:val="%2."/>
      <w:lvlJc w:val="left"/>
      <w:pPr>
        <w:ind w:left="1305" w:hanging="454"/>
      </w:pPr>
      <w:rPr>
        <w:rFonts w:hint="default"/>
      </w:rPr>
    </w:lvl>
    <w:lvl w:ilvl="2">
      <w:start w:val="1"/>
      <w:numFmt w:val="lowerRoman"/>
      <w:lvlText w:val="%3."/>
      <w:lvlJc w:val="left"/>
      <w:pPr>
        <w:ind w:left="1759" w:hanging="454"/>
      </w:pPr>
      <w:rPr>
        <w:rFonts w:hint="default"/>
      </w:rPr>
    </w:lvl>
    <w:lvl w:ilvl="3">
      <w:start w:val="1"/>
      <w:numFmt w:val="decimal"/>
      <w:lvlText w:val="%4."/>
      <w:lvlJc w:val="left"/>
      <w:pPr>
        <w:ind w:left="2213" w:hanging="454"/>
      </w:pPr>
      <w:rPr>
        <w:rFonts w:hint="default"/>
      </w:rPr>
    </w:lvl>
    <w:lvl w:ilvl="4">
      <w:start w:val="1"/>
      <w:numFmt w:val="lowerLetter"/>
      <w:lvlText w:val="%5."/>
      <w:lvlJc w:val="left"/>
      <w:pPr>
        <w:ind w:left="2667" w:hanging="454"/>
      </w:pPr>
      <w:rPr>
        <w:rFonts w:hint="default"/>
      </w:rPr>
    </w:lvl>
    <w:lvl w:ilvl="5">
      <w:start w:val="1"/>
      <w:numFmt w:val="lowerRoman"/>
      <w:lvlText w:val="%6."/>
      <w:lvlJc w:val="right"/>
      <w:pPr>
        <w:ind w:left="3121" w:hanging="454"/>
      </w:pPr>
      <w:rPr>
        <w:rFonts w:hint="default"/>
      </w:rPr>
    </w:lvl>
    <w:lvl w:ilvl="6">
      <w:start w:val="1"/>
      <w:numFmt w:val="decimal"/>
      <w:lvlText w:val="%7."/>
      <w:lvlJc w:val="left"/>
      <w:pPr>
        <w:ind w:left="3575" w:hanging="454"/>
      </w:pPr>
      <w:rPr>
        <w:rFonts w:hint="default"/>
      </w:rPr>
    </w:lvl>
    <w:lvl w:ilvl="7">
      <w:start w:val="1"/>
      <w:numFmt w:val="lowerLetter"/>
      <w:lvlText w:val="%8."/>
      <w:lvlJc w:val="left"/>
      <w:pPr>
        <w:ind w:left="4029" w:hanging="454"/>
      </w:pPr>
      <w:rPr>
        <w:rFonts w:hint="default"/>
      </w:rPr>
    </w:lvl>
    <w:lvl w:ilvl="8">
      <w:start w:val="1"/>
      <w:numFmt w:val="lowerRoman"/>
      <w:lvlText w:val="%9."/>
      <w:lvlJc w:val="right"/>
      <w:pPr>
        <w:ind w:left="4483" w:hanging="454"/>
      </w:pPr>
      <w:rPr>
        <w:rFonts w:hint="default"/>
      </w:rPr>
    </w:lvl>
  </w:abstractNum>
  <w:num w:numId="1">
    <w:abstractNumId w:val="36"/>
  </w:num>
  <w:num w:numId="2">
    <w:abstractNumId w:val="24"/>
  </w:num>
  <w:num w:numId="3">
    <w:abstractNumId w:val="70"/>
  </w:num>
  <w:num w:numId="4">
    <w:abstractNumId w:val="44"/>
  </w:num>
  <w:num w:numId="5">
    <w:abstractNumId w:val="30"/>
  </w:num>
  <w:num w:numId="6">
    <w:abstractNumId w:val="16"/>
  </w:num>
  <w:num w:numId="7">
    <w:abstractNumId w:val="49"/>
  </w:num>
  <w:num w:numId="8">
    <w:abstractNumId w:val="28"/>
  </w:num>
  <w:num w:numId="9">
    <w:abstractNumId w:val="64"/>
  </w:num>
  <w:num w:numId="10">
    <w:abstractNumId w:val="47"/>
  </w:num>
  <w:num w:numId="11">
    <w:abstractNumId w:val="41"/>
  </w:num>
  <w:num w:numId="12">
    <w:abstractNumId w:val="46"/>
  </w:num>
  <w:num w:numId="13">
    <w:abstractNumId w:val="40"/>
  </w:num>
  <w:num w:numId="14">
    <w:abstractNumId w:val="57"/>
  </w:num>
  <w:num w:numId="15">
    <w:abstractNumId w:val="0"/>
  </w:num>
  <w:num w:numId="16">
    <w:abstractNumId w:val="13"/>
  </w:num>
  <w:num w:numId="17">
    <w:abstractNumId w:val="69"/>
  </w:num>
  <w:num w:numId="18">
    <w:abstractNumId w:val="9"/>
  </w:num>
  <w:num w:numId="19">
    <w:abstractNumId w:val="17"/>
  </w:num>
  <w:num w:numId="20">
    <w:abstractNumId w:val="61"/>
  </w:num>
  <w:num w:numId="21">
    <w:abstractNumId w:val="29"/>
  </w:num>
  <w:num w:numId="22">
    <w:abstractNumId w:val="20"/>
  </w:num>
  <w:num w:numId="23">
    <w:abstractNumId w:val="73"/>
  </w:num>
  <w:num w:numId="24">
    <w:abstractNumId w:val="22"/>
  </w:num>
  <w:num w:numId="25">
    <w:abstractNumId w:val="11"/>
  </w:num>
  <w:num w:numId="26">
    <w:abstractNumId w:val="4"/>
  </w:num>
  <w:num w:numId="27">
    <w:abstractNumId w:val="8"/>
  </w:num>
  <w:num w:numId="28">
    <w:abstractNumId w:val="25"/>
  </w:num>
  <w:num w:numId="29">
    <w:abstractNumId w:val="34"/>
  </w:num>
  <w:num w:numId="30">
    <w:abstractNumId w:val="7"/>
  </w:num>
  <w:num w:numId="31">
    <w:abstractNumId w:val="71"/>
  </w:num>
  <w:num w:numId="32">
    <w:abstractNumId w:val="42"/>
  </w:num>
  <w:num w:numId="33">
    <w:abstractNumId w:val="35"/>
  </w:num>
  <w:num w:numId="34">
    <w:abstractNumId w:val="48"/>
  </w:num>
  <w:num w:numId="35">
    <w:abstractNumId w:val="59"/>
  </w:num>
  <w:num w:numId="36">
    <w:abstractNumId w:val="1"/>
  </w:num>
  <w:num w:numId="37">
    <w:abstractNumId w:val="63"/>
  </w:num>
  <w:num w:numId="38">
    <w:abstractNumId w:val="62"/>
  </w:num>
  <w:num w:numId="39">
    <w:abstractNumId w:val="66"/>
  </w:num>
  <w:num w:numId="40">
    <w:abstractNumId w:val="55"/>
  </w:num>
  <w:num w:numId="41">
    <w:abstractNumId w:val="12"/>
  </w:num>
  <w:num w:numId="42">
    <w:abstractNumId w:val="68"/>
  </w:num>
  <w:num w:numId="43">
    <w:abstractNumId w:val="37"/>
  </w:num>
  <w:num w:numId="44">
    <w:abstractNumId w:val="53"/>
  </w:num>
  <w:num w:numId="45">
    <w:abstractNumId w:val="56"/>
  </w:num>
  <w:num w:numId="46">
    <w:abstractNumId w:val="23"/>
  </w:num>
  <w:num w:numId="47">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D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1"/>
  <w:defaultTabStop w:val="284"/>
  <w:drawingGridHorizontalSpacing w:val="110"/>
  <w:displayHorizontalDrawingGridEvery w:val="2"/>
  <w:displayVerticalDrawingGridEvery w:val="2"/>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9FB"/>
    <w:rsid w:val="00001DDF"/>
    <w:rsid w:val="0000322D"/>
    <w:rsid w:val="00007670"/>
    <w:rsid w:val="00010665"/>
    <w:rsid w:val="00016716"/>
    <w:rsid w:val="000218A4"/>
    <w:rsid w:val="0002393A"/>
    <w:rsid w:val="0002403B"/>
    <w:rsid w:val="00026B7B"/>
    <w:rsid w:val="00027DB8"/>
    <w:rsid w:val="00031A96"/>
    <w:rsid w:val="00032392"/>
    <w:rsid w:val="0003497F"/>
    <w:rsid w:val="00040543"/>
    <w:rsid w:val="00040BF3"/>
    <w:rsid w:val="0004211C"/>
    <w:rsid w:val="00046C59"/>
    <w:rsid w:val="00051362"/>
    <w:rsid w:val="00051F45"/>
    <w:rsid w:val="00052953"/>
    <w:rsid w:val="0005341A"/>
    <w:rsid w:val="0005530D"/>
    <w:rsid w:val="00056DEF"/>
    <w:rsid w:val="00056EDC"/>
    <w:rsid w:val="00060F7B"/>
    <w:rsid w:val="00061530"/>
    <w:rsid w:val="0006635A"/>
    <w:rsid w:val="000720BE"/>
    <w:rsid w:val="0007259C"/>
    <w:rsid w:val="00080202"/>
    <w:rsid w:val="00080DCD"/>
    <w:rsid w:val="00080E22"/>
    <w:rsid w:val="00082573"/>
    <w:rsid w:val="000840A3"/>
    <w:rsid w:val="00085062"/>
    <w:rsid w:val="00085E0B"/>
    <w:rsid w:val="00086A5F"/>
    <w:rsid w:val="000911EF"/>
    <w:rsid w:val="00092DC9"/>
    <w:rsid w:val="000962C5"/>
    <w:rsid w:val="000A4317"/>
    <w:rsid w:val="000A559C"/>
    <w:rsid w:val="000B2CA1"/>
    <w:rsid w:val="000B3184"/>
    <w:rsid w:val="000B686D"/>
    <w:rsid w:val="000C1DFE"/>
    <w:rsid w:val="000C668F"/>
    <w:rsid w:val="000D1F29"/>
    <w:rsid w:val="000D633D"/>
    <w:rsid w:val="000E12C7"/>
    <w:rsid w:val="000E342B"/>
    <w:rsid w:val="000E5BCE"/>
    <w:rsid w:val="000E5DD2"/>
    <w:rsid w:val="000F2958"/>
    <w:rsid w:val="000F2DDC"/>
    <w:rsid w:val="000F3850"/>
    <w:rsid w:val="00104E3A"/>
    <w:rsid w:val="00104E7F"/>
    <w:rsid w:val="0010637D"/>
    <w:rsid w:val="001137EC"/>
    <w:rsid w:val="001152F5"/>
    <w:rsid w:val="00117743"/>
    <w:rsid w:val="00117F5B"/>
    <w:rsid w:val="00122957"/>
    <w:rsid w:val="0012671A"/>
    <w:rsid w:val="00132658"/>
    <w:rsid w:val="001334AE"/>
    <w:rsid w:val="0014721A"/>
    <w:rsid w:val="00150DC0"/>
    <w:rsid w:val="001539DB"/>
    <w:rsid w:val="00156CD4"/>
    <w:rsid w:val="0016153B"/>
    <w:rsid w:val="00164A3E"/>
    <w:rsid w:val="00165B5F"/>
    <w:rsid w:val="00166595"/>
    <w:rsid w:val="00166FF6"/>
    <w:rsid w:val="00171AE8"/>
    <w:rsid w:val="00175C90"/>
    <w:rsid w:val="00176123"/>
    <w:rsid w:val="00181620"/>
    <w:rsid w:val="00181F2A"/>
    <w:rsid w:val="00186D3F"/>
    <w:rsid w:val="00186F23"/>
    <w:rsid w:val="0018765C"/>
    <w:rsid w:val="001924FA"/>
    <w:rsid w:val="001957AD"/>
    <w:rsid w:val="001A2B7F"/>
    <w:rsid w:val="001A3AFD"/>
    <w:rsid w:val="001A496C"/>
    <w:rsid w:val="001A576A"/>
    <w:rsid w:val="001B20D4"/>
    <w:rsid w:val="001B2A31"/>
    <w:rsid w:val="001B2B6C"/>
    <w:rsid w:val="001B6D10"/>
    <w:rsid w:val="001C3435"/>
    <w:rsid w:val="001C7E5E"/>
    <w:rsid w:val="001D01C4"/>
    <w:rsid w:val="001D49A1"/>
    <w:rsid w:val="001D4F99"/>
    <w:rsid w:val="001D52B0"/>
    <w:rsid w:val="001D5A18"/>
    <w:rsid w:val="001D7CA4"/>
    <w:rsid w:val="001E057F"/>
    <w:rsid w:val="001E14EB"/>
    <w:rsid w:val="001E6428"/>
    <w:rsid w:val="001F19D0"/>
    <w:rsid w:val="001F1C60"/>
    <w:rsid w:val="001F59E6"/>
    <w:rsid w:val="001F79EE"/>
    <w:rsid w:val="001F7EFC"/>
    <w:rsid w:val="00200A6F"/>
    <w:rsid w:val="00203F1C"/>
    <w:rsid w:val="002057A3"/>
    <w:rsid w:val="00206936"/>
    <w:rsid w:val="00206C6F"/>
    <w:rsid w:val="00206FBD"/>
    <w:rsid w:val="00207746"/>
    <w:rsid w:val="00217597"/>
    <w:rsid w:val="0022526B"/>
    <w:rsid w:val="00226D93"/>
    <w:rsid w:val="00227D13"/>
    <w:rsid w:val="00230031"/>
    <w:rsid w:val="00235C01"/>
    <w:rsid w:val="002374A0"/>
    <w:rsid w:val="00247343"/>
    <w:rsid w:val="00250320"/>
    <w:rsid w:val="002526C0"/>
    <w:rsid w:val="00256250"/>
    <w:rsid w:val="00257BF0"/>
    <w:rsid w:val="00263438"/>
    <w:rsid w:val="00265C56"/>
    <w:rsid w:val="00267647"/>
    <w:rsid w:val="00267DE5"/>
    <w:rsid w:val="002716CD"/>
    <w:rsid w:val="00274D4B"/>
    <w:rsid w:val="002751FA"/>
    <w:rsid w:val="002806F5"/>
    <w:rsid w:val="00281577"/>
    <w:rsid w:val="00282229"/>
    <w:rsid w:val="0028750D"/>
    <w:rsid w:val="00290E3B"/>
    <w:rsid w:val="002926BC"/>
    <w:rsid w:val="00293923"/>
    <w:rsid w:val="00293A72"/>
    <w:rsid w:val="002959FA"/>
    <w:rsid w:val="002A0160"/>
    <w:rsid w:val="002A30C3"/>
    <w:rsid w:val="002A4417"/>
    <w:rsid w:val="002A6F6A"/>
    <w:rsid w:val="002A7712"/>
    <w:rsid w:val="002B38F7"/>
    <w:rsid w:val="002B5591"/>
    <w:rsid w:val="002B6AA4"/>
    <w:rsid w:val="002C1FE9"/>
    <w:rsid w:val="002D3A57"/>
    <w:rsid w:val="002D4B6E"/>
    <w:rsid w:val="002D7D05"/>
    <w:rsid w:val="002E20C8"/>
    <w:rsid w:val="002E4290"/>
    <w:rsid w:val="002E66A6"/>
    <w:rsid w:val="002F0DB1"/>
    <w:rsid w:val="002F2885"/>
    <w:rsid w:val="002F45A1"/>
    <w:rsid w:val="003019A7"/>
    <w:rsid w:val="003037F9"/>
    <w:rsid w:val="00304604"/>
    <w:rsid w:val="0030583E"/>
    <w:rsid w:val="00306E44"/>
    <w:rsid w:val="00307FE1"/>
    <w:rsid w:val="003164BA"/>
    <w:rsid w:val="00324A78"/>
    <w:rsid w:val="003258E6"/>
    <w:rsid w:val="00330C73"/>
    <w:rsid w:val="003336D8"/>
    <w:rsid w:val="003365BC"/>
    <w:rsid w:val="00336A16"/>
    <w:rsid w:val="003406F4"/>
    <w:rsid w:val="00342283"/>
    <w:rsid w:val="00343A87"/>
    <w:rsid w:val="00344A36"/>
    <w:rsid w:val="003456F4"/>
    <w:rsid w:val="00347FB6"/>
    <w:rsid w:val="003504FD"/>
    <w:rsid w:val="00350881"/>
    <w:rsid w:val="00354D12"/>
    <w:rsid w:val="003561A1"/>
    <w:rsid w:val="00356B0E"/>
    <w:rsid w:val="00357D55"/>
    <w:rsid w:val="00363513"/>
    <w:rsid w:val="003657E5"/>
    <w:rsid w:val="0036589C"/>
    <w:rsid w:val="00371312"/>
    <w:rsid w:val="00371DC7"/>
    <w:rsid w:val="003745FF"/>
    <w:rsid w:val="00377B21"/>
    <w:rsid w:val="00390932"/>
    <w:rsid w:val="00390CE3"/>
    <w:rsid w:val="00394876"/>
    <w:rsid w:val="00394AAF"/>
    <w:rsid w:val="00394CE5"/>
    <w:rsid w:val="00394D56"/>
    <w:rsid w:val="0039689A"/>
    <w:rsid w:val="003A3EB9"/>
    <w:rsid w:val="003A54E2"/>
    <w:rsid w:val="003A6341"/>
    <w:rsid w:val="003B049C"/>
    <w:rsid w:val="003B67FD"/>
    <w:rsid w:val="003B6A61"/>
    <w:rsid w:val="003C7DDC"/>
    <w:rsid w:val="003D0F63"/>
    <w:rsid w:val="003D42C0"/>
    <w:rsid w:val="003D5B29"/>
    <w:rsid w:val="003D7818"/>
    <w:rsid w:val="003E1F74"/>
    <w:rsid w:val="003E2445"/>
    <w:rsid w:val="003E3BB2"/>
    <w:rsid w:val="003E70D9"/>
    <w:rsid w:val="003F4043"/>
    <w:rsid w:val="003F5B58"/>
    <w:rsid w:val="003F632E"/>
    <w:rsid w:val="003F6F59"/>
    <w:rsid w:val="00401407"/>
    <w:rsid w:val="0040222A"/>
    <w:rsid w:val="004047BC"/>
    <w:rsid w:val="004100F7"/>
    <w:rsid w:val="0041288A"/>
    <w:rsid w:val="0041364A"/>
    <w:rsid w:val="00414CB3"/>
    <w:rsid w:val="0041563D"/>
    <w:rsid w:val="004179BF"/>
    <w:rsid w:val="00422C6E"/>
    <w:rsid w:val="00423620"/>
    <w:rsid w:val="00424AF0"/>
    <w:rsid w:val="00426E25"/>
    <w:rsid w:val="00427D9C"/>
    <w:rsid w:val="00427E7E"/>
    <w:rsid w:val="004366A2"/>
    <w:rsid w:val="00440381"/>
    <w:rsid w:val="00442E20"/>
    <w:rsid w:val="00443B6E"/>
    <w:rsid w:val="0045420A"/>
    <w:rsid w:val="004554D4"/>
    <w:rsid w:val="00461744"/>
    <w:rsid w:val="00461A60"/>
    <w:rsid w:val="0046336D"/>
    <w:rsid w:val="00463635"/>
    <w:rsid w:val="00466185"/>
    <w:rsid w:val="00466303"/>
    <w:rsid w:val="004668A7"/>
    <w:rsid w:val="00466D96"/>
    <w:rsid w:val="00467747"/>
    <w:rsid w:val="00470017"/>
    <w:rsid w:val="004730E8"/>
    <w:rsid w:val="004734FD"/>
    <w:rsid w:val="00473C98"/>
    <w:rsid w:val="0047460D"/>
    <w:rsid w:val="00474965"/>
    <w:rsid w:val="004773F9"/>
    <w:rsid w:val="00477B9F"/>
    <w:rsid w:val="00481E94"/>
    <w:rsid w:val="00482DF8"/>
    <w:rsid w:val="004864DE"/>
    <w:rsid w:val="00487440"/>
    <w:rsid w:val="00494BE5"/>
    <w:rsid w:val="00495E04"/>
    <w:rsid w:val="004A0EBA"/>
    <w:rsid w:val="004A2538"/>
    <w:rsid w:val="004A6183"/>
    <w:rsid w:val="004A65C1"/>
    <w:rsid w:val="004A75A1"/>
    <w:rsid w:val="004B0C15"/>
    <w:rsid w:val="004B2D0A"/>
    <w:rsid w:val="004B35EA"/>
    <w:rsid w:val="004B69E4"/>
    <w:rsid w:val="004C3A61"/>
    <w:rsid w:val="004C6C39"/>
    <w:rsid w:val="004D075F"/>
    <w:rsid w:val="004D1B76"/>
    <w:rsid w:val="004D344E"/>
    <w:rsid w:val="004D3931"/>
    <w:rsid w:val="004D3FF8"/>
    <w:rsid w:val="004E019E"/>
    <w:rsid w:val="004E06EC"/>
    <w:rsid w:val="004E0A3F"/>
    <w:rsid w:val="004E1B1F"/>
    <w:rsid w:val="004E2CB7"/>
    <w:rsid w:val="004E4C71"/>
    <w:rsid w:val="004F016A"/>
    <w:rsid w:val="00500F94"/>
    <w:rsid w:val="00500FF4"/>
    <w:rsid w:val="00502FB3"/>
    <w:rsid w:val="00503DE9"/>
    <w:rsid w:val="0050530C"/>
    <w:rsid w:val="0050574E"/>
    <w:rsid w:val="00505DEA"/>
    <w:rsid w:val="00507782"/>
    <w:rsid w:val="00512A04"/>
    <w:rsid w:val="00513FEC"/>
    <w:rsid w:val="00514D9F"/>
    <w:rsid w:val="00517B51"/>
    <w:rsid w:val="00520499"/>
    <w:rsid w:val="005249F5"/>
    <w:rsid w:val="005260F7"/>
    <w:rsid w:val="005348B4"/>
    <w:rsid w:val="00543BD1"/>
    <w:rsid w:val="0054680F"/>
    <w:rsid w:val="00550547"/>
    <w:rsid w:val="00550F95"/>
    <w:rsid w:val="005516BE"/>
    <w:rsid w:val="00553BC5"/>
    <w:rsid w:val="00556113"/>
    <w:rsid w:val="00564C12"/>
    <w:rsid w:val="005654B8"/>
    <w:rsid w:val="005762CC"/>
    <w:rsid w:val="00582D3D"/>
    <w:rsid w:val="005846A6"/>
    <w:rsid w:val="0059008B"/>
    <w:rsid w:val="00595386"/>
    <w:rsid w:val="00595D03"/>
    <w:rsid w:val="00595FAE"/>
    <w:rsid w:val="00597234"/>
    <w:rsid w:val="005A1B08"/>
    <w:rsid w:val="005A210C"/>
    <w:rsid w:val="005A4AC0"/>
    <w:rsid w:val="005A5FDF"/>
    <w:rsid w:val="005B0FB7"/>
    <w:rsid w:val="005B122A"/>
    <w:rsid w:val="005B1FCB"/>
    <w:rsid w:val="005B4A89"/>
    <w:rsid w:val="005B5AC2"/>
    <w:rsid w:val="005C2833"/>
    <w:rsid w:val="005D230B"/>
    <w:rsid w:val="005D4FC9"/>
    <w:rsid w:val="005E144D"/>
    <w:rsid w:val="005E1500"/>
    <w:rsid w:val="005E3A43"/>
    <w:rsid w:val="005F0B17"/>
    <w:rsid w:val="005F4DF8"/>
    <w:rsid w:val="005F5758"/>
    <w:rsid w:val="005F77C7"/>
    <w:rsid w:val="00601488"/>
    <w:rsid w:val="00603AE8"/>
    <w:rsid w:val="00620675"/>
    <w:rsid w:val="00622910"/>
    <w:rsid w:val="006244C4"/>
    <w:rsid w:val="006254B6"/>
    <w:rsid w:val="00627FC8"/>
    <w:rsid w:val="00630C82"/>
    <w:rsid w:val="006326C0"/>
    <w:rsid w:val="00642AAB"/>
    <w:rsid w:val="006433C3"/>
    <w:rsid w:val="00644D8A"/>
    <w:rsid w:val="00650F5B"/>
    <w:rsid w:val="006555F2"/>
    <w:rsid w:val="006570FF"/>
    <w:rsid w:val="00657633"/>
    <w:rsid w:val="006616CE"/>
    <w:rsid w:val="006670D7"/>
    <w:rsid w:val="006679EA"/>
    <w:rsid w:val="006719EA"/>
    <w:rsid w:val="00671F13"/>
    <w:rsid w:val="0067367B"/>
    <w:rsid w:val="0067400A"/>
    <w:rsid w:val="00674015"/>
    <w:rsid w:val="006847AD"/>
    <w:rsid w:val="006859FB"/>
    <w:rsid w:val="0069114B"/>
    <w:rsid w:val="00692A7A"/>
    <w:rsid w:val="00694638"/>
    <w:rsid w:val="006959A1"/>
    <w:rsid w:val="0069742E"/>
    <w:rsid w:val="0069780E"/>
    <w:rsid w:val="006A5FB1"/>
    <w:rsid w:val="006A6F06"/>
    <w:rsid w:val="006A756A"/>
    <w:rsid w:val="006B535E"/>
    <w:rsid w:val="006D23F2"/>
    <w:rsid w:val="006D4AFB"/>
    <w:rsid w:val="006D66F7"/>
    <w:rsid w:val="006E3BFF"/>
    <w:rsid w:val="006E52FE"/>
    <w:rsid w:val="00703193"/>
    <w:rsid w:val="0070360B"/>
    <w:rsid w:val="00705C9D"/>
    <w:rsid w:val="00705F13"/>
    <w:rsid w:val="00713D03"/>
    <w:rsid w:val="00714F1D"/>
    <w:rsid w:val="00715225"/>
    <w:rsid w:val="00715F8F"/>
    <w:rsid w:val="00720CC6"/>
    <w:rsid w:val="00722DDB"/>
    <w:rsid w:val="00724222"/>
    <w:rsid w:val="00724728"/>
    <w:rsid w:val="00724F98"/>
    <w:rsid w:val="00730B9B"/>
    <w:rsid w:val="00731271"/>
    <w:rsid w:val="0073182E"/>
    <w:rsid w:val="007329C2"/>
    <w:rsid w:val="007332FF"/>
    <w:rsid w:val="00734A12"/>
    <w:rsid w:val="00734BDA"/>
    <w:rsid w:val="00737022"/>
    <w:rsid w:val="007408F5"/>
    <w:rsid w:val="00741EAE"/>
    <w:rsid w:val="00755248"/>
    <w:rsid w:val="00756C34"/>
    <w:rsid w:val="0076190B"/>
    <w:rsid w:val="0076355D"/>
    <w:rsid w:val="00763A2D"/>
    <w:rsid w:val="00766C7D"/>
    <w:rsid w:val="007676A4"/>
    <w:rsid w:val="00772AE8"/>
    <w:rsid w:val="00777795"/>
    <w:rsid w:val="00783A57"/>
    <w:rsid w:val="00784C92"/>
    <w:rsid w:val="00785733"/>
    <w:rsid w:val="007859CD"/>
    <w:rsid w:val="007907E4"/>
    <w:rsid w:val="00790FDE"/>
    <w:rsid w:val="00791E1F"/>
    <w:rsid w:val="0079358C"/>
    <w:rsid w:val="00796371"/>
    <w:rsid w:val="00796461"/>
    <w:rsid w:val="007A1E6F"/>
    <w:rsid w:val="007A1FB2"/>
    <w:rsid w:val="007A6A4F"/>
    <w:rsid w:val="007B03F5"/>
    <w:rsid w:val="007B5C09"/>
    <w:rsid w:val="007B5DA2"/>
    <w:rsid w:val="007B7226"/>
    <w:rsid w:val="007C0966"/>
    <w:rsid w:val="007C19E7"/>
    <w:rsid w:val="007C5CFD"/>
    <w:rsid w:val="007C6D9F"/>
    <w:rsid w:val="007D4893"/>
    <w:rsid w:val="007E1214"/>
    <w:rsid w:val="007E3DBE"/>
    <w:rsid w:val="007E70CF"/>
    <w:rsid w:val="007E74A4"/>
    <w:rsid w:val="007F263F"/>
    <w:rsid w:val="007F79E1"/>
    <w:rsid w:val="008015A8"/>
    <w:rsid w:val="0080391D"/>
    <w:rsid w:val="0080766E"/>
    <w:rsid w:val="00811169"/>
    <w:rsid w:val="00815297"/>
    <w:rsid w:val="008170DB"/>
    <w:rsid w:val="00817BA1"/>
    <w:rsid w:val="0082288F"/>
    <w:rsid w:val="00823022"/>
    <w:rsid w:val="00823F24"/>
    <w:rsid w:val="0082634E"/>
    <w:rsid w:val="00827DFD"/>
    <w:rsid w:val="008313C4"/>
    <w:rsid w:val="00835434"/>
    <w:rsid w:val="008358C0"/>
    <w:rsid w:val="00835994"/>
    <w:rsid w:val="008413F6"/>
    <w:rsid w:val="00842838"/>
    <w:rsid w:val="008455B7"/>
    <w:rsid w:val="00854EC1"/>
    <w:rsid w:val="0085797F"/>
    <w:rsid w:val="00861DC3"/>
    <w:rsid w:val="0086261C"/>
    <w:rsid w:val="00862F70"/>
    <w:rsid w:val="008654B6"/>
    <w:rsid w:val="00867019"/>
    <w:rsid w:val="00871A09"/>
    <w:rsid w:val="008735A9"/>
    <w:rsid w:val="00877489"/>
    <w:rsid w:val="00877BC5"/>
    <w:rsid w:val="00877D20"/>
    <w:rsid w:val="00881C48"/>
    <w:rsid w:val="008822FC"/>
    <w:rsid w:val="00884668"/>
    <w:rsid w:val="00885B80"/>
    <w:rsid w:val="00885C30"/>
    <w:rsid w:val="00885E9B"/>
    <w:rsid w:val="00893C96"/>
    <w:rsid w:val="0089500A"/>
    <w:rsid w:val="00897C94"/>
    <w:rsid w:val="008A05A4"/>
    <w:rsid w:val="008A5B17"/>
    <w:rsid w:val="008A7C12"/>
    <w:rsid w:val="008B03CE"/>
    <w:rsid w:val="008B529E"/>
    <w:rsid w:val="008C17FB"/>
    <w:rsid w:val="008C491C"/>
    <w:rsid w:val="008D1B00"/>
    <w:rsid w:val="008D57B8"/>
    <w:rsid w:val="008E03FC"/>
    <w:rsid w:val="008E1963"/>
    <w:rsid w:val="008E4BE9"/>
    <w:rsid w:val="008E510B"/>
    <w:rsid w:val="008F27E0"/>
    <w:rsid w:val="008F4C07"/>
    <w:rsid w:val="00902B13"/>
    <w:rsid w:val="00911941"/>
    <w:rsid w:val="009159F5"/>
    <w:rsid w:val="0092024D"/>
    <w:rsid w:val="00922A8D"/>
    <w:rsid w:val="009245A5"/>
    <w:rsid w:val="00925F0F"/>
    <w:rsid w:val="00932F6B"/>
    <w:rsid w:val="00942009"/>
    <w:rsid w:val="00944E62"/>
    <w:rsid w:val="009464D1"/>
    <w:rsid w:val="009468BC"/>
    <w:rsid w:val="00947413"/>
    <w:rsid w:val="009507A8"/>
    <w:rsid w:val="00951975"/>
    <w:rsid w:val="00954058"/>
    <w:rsid w:val="009616DF"/>
    <w:rsid w:val="0096542F"/>
    <w:rsid w:val="00967FA7"/>
    <w:rsid w:val="00971645"/>
    <w:rsid w:val="00977919"/>
    <w:rsid w:val="0098074C"/>
    <w:rsid w:val="00980EEF"/>
    <w:rsid w:val="00983000"/>
    <w:rsid w:val="009870FA"/>
    <w:rsid w:val="009921C3"/>
    <w:rsid w:val="0099551D"/>
    <w:rsid w:val="009A5897"/>
    <w:rsid w:val="009A5F24"/>
    <w:rsid w:val="009A6204"/>
    <w:rsid w:val="009B0B3E"/>
    <w:rsid w:val="009B1913"/>
    <w:rsid w:val="009B6657"/>
    <w:rsid w:val="009D0EB5"/>
    <w:rsid w:val="009D14F9"/>
    <w:rsid w:val="009D2B74"/>
    <w:rsid w:val="009D63FF"/>
    <w:rsid w:val="009E175D"/>
    <w:rsid w:val="009E3CC2"/>
    <w:rsid w:val="009F06BD"/>
    <w:rsid w:val="009F1AA1"/>
    <w:rsid w:val="009F2A4D"/>
    <w:rsid w:val="00A00828"/>
    <w:rsid w:val="00A00EAF"/>
    <w:rsid w:val="00A02C5E"/>
    <w:rsid w:val="00A03290"/>
    <w:rsid w:val="00A0387E"/>
    <w:rsid w:val="00A06146"/>
    <w:rsid w:val="00A07490"/>
    <w:rsid w:val="00A10655"/>
    <w:rsid w:val="00A111AC"/>
    <w:rsid w:val="00A12B64"/>
    <w:rsid w:val="00A1689A"/>
    <w:rsid w:val="00A21F7E"/>
    <w:rsid w:val="00A22C38"/>
    <w:rsid w:val="00A25193"/>
    <w:rsid w:val="00A251A6"/>
    <w:rsid w:val="00A26E80"/>
    <w:rsid w:val="00A31AE8"/>
    <w:rsid w:val="00A34318"/>
    <w:rsid w:val="00A3739D"/>
    <w:rsid w:val="00A37DDA"/>
    <w:rsid w:val="00A45005"/>
    <w:rsid w:val="00A47824"/>
    <w:rsid w:val="00A62B08"/>
    <w:rsid w:val="00A660E7"/>
    <w:rsid w:val="00A721CE"/>
    <w:rsid w:val="00A76790"/>
    <w:rsid w:val="00A81270"/>
    <w:rsid w:val="00A81E64"/>
    <w:rsid w:val="00A84B64"/>
    <w:rsid w:val="00A86F1E"/>
    <w:rsid w:val="00A90F09"/>
    <w:rsid w:val="00A925EC"/>
    <w:rsid w:val="00A9293C"/>
    <w:rsid w:val="00A929AA"/>
    <w:rsid w:val="00A92B6B"/>
    <w:rsid w:val="00AA541E"/>
    <w:rsid w:val="00AB2784"/>
    <w:rsid w:val="00AC0858"/>
    <w:rsid w:val="00AC7513"/>
    <w:rsid w:val="00AD0DA4"/>
    <w:rsid w:val="00AD4169"/>
    <w:rsid w:val="00AD51F0"/>
    <w:rsid w:val="00AD566C"/>
    <w:rsid w:val="00AE25C6"/>
    <w:rsid w:val="00AE29C0"/>
    <w:rsid w:val="00AE306C"/>
    <w:rsid w:val="00AE7B8C"/>
    <w:rsid w:val="00AF28C1"/>
    <w:rsid w:val="00AF3A60"/>
    <w:rsid w:val="00B0057A"/>
    <w:rsid w:val="00B02EF1"/>
    <w:rsid w:val="00B06AEF"/>
    <w:rsid w:val="00B07B14"/>
    <w:rsid w:val="00B07C97"/>
    <w:rsid w:val="00B07F07"/>
    <w:rsid w:val="00B11C67"/>
    <w:rsid w:val="00B15754"/>
    <w:rsid w:val="00B2046E"/>
    <w:rsid w:val="00B20E8B"/>
    <w:rsid w:val="00B230AD"/>
    <w:rsid w:val="00B247A1"/>
    <w:rsid w:val="00B257E1"/>
    <w:rsid w:val="00B2599A"/>
    <w:rsid w:val="00B27AC4"/>
    <w:rsid w:val="00B30BBB"/>
    <w:rsid w:val="00B31531"/>
    <w:rsid w:val="00B34058"/>
    <w:rsid w:val="00B343CC"/>
    <w:rsid w:val="00B40C1C"/>
    <w:rsid w:val="00B41C6D"/>
    <w:rsid w:val="00B41D96"/>
    <w:rsid w:val="00B45A23"/>
    <w:rsid w:val="00B504FE"/>
    <w:rsid w:val="00B5084A"/>
    <w:rsid w:val="00B55A82"/>
    <w:rsid w:val="00B5615C"/>
    <w:rsid w:val="00B606A1"/>
    <w:rsid w:val="00B614F7"/>
    <w:rsid w:val="00B61B26"/>
    <w:rsid w:val="00B65E6B"/>
    <w:rsid w:val="00B674DD"/>
    <w:rsid w:val="00B675B2"/>
    <w:rsid w:val="00B81261"/>
    <w:rsid w:val="00B81270"/>
    <w:rsid w:val="00B81B7F"/>
    <w:rsid w:val="00B8223E"/>
    <w:rsid w:val="00B832AE"/>
    <w:rsid w:val="00B86678"/>
    <w:rsid w:val="00B92F9B"/>
    <w:rsid w:val="00B941B3"/>
    <w:rsid w:val="00B96513"/>
    <w:rsid w:val="00BA1D47"/>
    <w:rsid w:val="00BA4097"/>
    <w:rsid w:val="00BA66F0"/>
    <w:rsid w:val="00BB0253"/>
    <w:rsid w:val="00BB2239"/>
    <w:rsid w:val="00BB2AE7"/>
    <w:rsid w:val="00BB6464"/>
    <w:rsid w:val="00BC1BB8"/>
    <w:rsid w:val="00BD30F4"/>
    <w:rsid w:val="00BD3ADD"/>
    <w:rsid w:val="00BD4E84"/>
    <w:rsid w:val="00BD7FE1"/>
    <w:rsid w:val="00BE19E3"/>
    <w:rsid w:val="00BE37CA"/>
    <w:rsid w:val="00BE6144"/>
    <w:rsid w:val="00BE635A"/>
    <w:rsid w:val="00BE75E2"/>
    <w:rsid w:val="00BF17E9"/>
    <w:rsid w:val="00BF29FE"/>
    <w:rsid w:val="00BF2ABB"/>
    <w:rsid w:val="00BF5099"/>
    <w:rsid w:val="00C03DFD"/>
    <w:rsid w:val="00C10F10"/>
    <w:rsid w:val="00C15D4D"/>
    <w:rsid w:val="00C175DC"/>
    <w:rsid w:val="00C209FA"/>
    <w:rsid w:val="00C21B4E"/>
    <w:rsid w:val="00C22E74"/>
    <w:rsid w:val="00C30171"/>
    <w:rsid w:val="00C309D8"/>
    <w:rsid w:val="00C34222"/>
    <w:rsid w:val="00C3655F"/>
    <w:rsid w:val="00C379BE"/>
    <w:rsid w:val="00C37A65"/>
    <w:rsid w:val="00C43519"/>
    <w:rsid w:val="00C51537"/>
    <w:rsid w:val="00C52BC3"/>
    <w:rsid w:val="00C54B65"/>
    <w:rsid w:val="00C60042"/>
    <w:rsid w:val="00C60F89"/>
    <w:rsid w:val="00C61AFA"/>
    <w:rsid w:val="00C61D64"/>
    <w:rsid w:val="00C62099"/>
    <w:rsid w:val="00C64EA3"/>
    <w:rsid w:val="00C66AB2"/>
    <w:rsid w:val="00C72867"/>
    <w:rsid w:val="00C75E81"/>
    <w:rsid w:val="00C80CF7"/>
    <w:rsid w:val="00C86609"/>
    <w:rsid w:val="00C92B4C"/>
    <w:rsid w:val="00C954F6"/>
    <w:rsid w:val="00C978A5"/>
    <w:rsid w:val="00CA6BC5"/>
    <w:rsid w:val="00CB3AF8"/>
    <w:rsid w:val="00CC27F0"/>
    <w:rsid w:val="00CC61CD"/>
    <w:rsid w:val="00CC737B"/>
    <w:rsid w:val="00CD0CCD"/>
    <w:rsid w:val="00CD3B13"/>
    <w:rsid w:val="00CD5011"/>
    <w:rsid w:val="00CD56C8"/>
    <w:rsid w:val="00CE51C6"/>
    <w:rsid w:val="00CE640F"/>
    <w:rsid w:val="00CE76BC"/>
    <w:rsid w:val="00CF49A9"/>
    <w:rsid w:val="00CF540E"/>
    <w:rsid w:val="00CF76CB"/>
    <w:rsid w:val="00D00814"/>
    <w:rsid w:val="00D02F07"/>
    <w:rsid w:val="00D10401"/>
    <w:rsid w:val="00D156DD"/>
    <w:rsid w:val="00D158C5"/>
    <w:rsid w:val="00D27EBE"/>
    <w:rsid w:val="00D33AEE"/>
    <w:rsid w:val="00D36A49"/>
    <w:rsid w:val="00D42B7C"/>
    <w:rsid w:val="00D517C6"/>
    <w:rsid w:val="00D5354B"/>
    <w:rsid w:val="00D57347"/>
    <w:rsid w:val="00D60298"/>
    <w:rsid w:val="00D614ED"/>
    <w:rsid w:val="00D65C1C"/>
    <w:rsid w:val="00D71D84"/>
    <w:rsid w:val="00D72464"/>
    <w:rsid w:val="00D768EB"/>
    <w:rsid w:val="00D80136"/>
    <w:rsid w:val="00D81B14"/>
    <w:rsid w:val="00D81E17"/>
    <w:rsid w:val="00D82D1E"/>
    <w:rsid w:val="00D832D9"/>
    <w:rsid w:val="00D83666"/>
    <w:rsid w:val="00D83C45"/>
    <w:rsid w:val="00D87D98"/>
    <w:rsid w:val="00D90F00"/>
    <w:rsid w:val="00D975C0"/>
    <w:rsid w:val="00DA04FA"/>
    <w:rsid w:val="00DA5285"/>
    <w:rsid w:val="00DB0E2E"/>
    <w:rsid w:val="00DB191D"/>
    <w:rsid w:val="00DB1F29"/>
    <w:rsid w:val="00DB2713"/>
    <w:rsid w:val="00DB4F91"/>
    <w:rsid w:val="00DB6D0A"/>
    <w:rsid w:val="00DC06BE"/>
    <w:rsid w:val="00DC1F0F"/>
    <w:rsid w:val="00DC3117"/>
    <w:rsid w:val="00DC5DD9"/>
    <w:rsid w:val="00DC6D2D"/>
    <w:rsid w:val="00DC7CCA"/>
    <w:rsid w:val="00DD4E59"/>
    <w:rsid w:val="00DE33B5"/>
    <w:rsid w:val="00DE5E18"/>
    <w:rsid w:val="00DE71DA"/>
    <w:rsid w:val="00DF0487"/>
    <w:rsid w:val="00DF2242"/>
    <w:rsid w:val="00DF5EA4"/>
    <w:rsid w:val="00E02681"/>
    <w:rsid w:val="00E02792"/>
    <w:rsid w:val="00E034D8"/>
    <w:rsid w:val="00E04031"/>
    <w:rsid w:val="00E04CC0"/>
    <w:rsid w:val="00E119E4"/>
    <w:rsid w:val="00E15816"/>
    <w:rsid w:val="00E160D5"/>
    <w:rsid w:val="00E20AC4"/>
    <w:rsid w:val="00E230D7"/>
    <w:rsid w:val="00E239FF"/>
    <w:rsid w:val="00E27D7B"/>
    <w:rsid w:val="00E30556"/>
    <w:rsid w:val="00E30981"/>
    <w:rsid w:val="00E3240D"/>
    <w:rsid w:val="00E33136"/>
    <w:rsid w:val="00E34D7C"/>
    <w:rsid w:val="00E35602"/>
    <w:rsid w:val="00E3723D"/>
    <w:rsid w:val="00E44C89"/>
    <w:rsid w:val="00E602A2"/>
    <w:rsid w:val="00E61BA2"/>
    <w:rsid w:val="00E63864"/>
    <w:rsid w:val="00E6403F"/>
    <w:rsid w:val="00E706D6"/>
    <w:rsid w:val="00E70F28"/>
    <w:rsid w:val="00E76825"/>
    <w:rsid w:val="00E76EBD"/>
    <w:rsid w:val="00E770C4"/>
    <w:rsid w:val="00E77413"/>
    <w:rsid w:val="00E84C5A"/>
    <w:rsid w:val="00E85C80"/>
    <w:rsid w:val="00E861DB"/>
    <w:rsid w:val="00E93406"/>
    <w:rsid w:val="00E9412C"/>
    <w:rsid w:val="00E956C5"/>
    <w:rsid w:val="00E95C39"/>
    <w:rsid w:val="00E968DC"/>
    <w:rsid w:val="00E96A26"/>
    <w:rsid w:val="00EA2C39"/>
    <w:rsid w:val="00EA2F7D"/>
    <w:rsid w:val="00EA38D1"/>
    <w:rsid w:val="00EA3C7B"/>
    <w:rsid w:val="00EA49C5"/>
    <w:rsid w:val="00EA5F6A"/>
    <w:rsid w:val="00EA727C"/>
    <w:rsid w:val="00EA7B97"/>
    <w:rsid w:val="00EA7C41"/>
    <w:rsid w:val="00EB0A3C"/>
    <w:rsid w:val="00EB0A96"/>
    <w:rsid w:val="00EB559B"/>
    <w:rsid w:val="00EB77F9"/>
    <w:rsid w:val="00EC5769"/>
    <w:rsid w:val="00EC7D00"/>
    <w:rsid w:val="00ED0304"/>
    <w:rsid w:val="00ED7398"/>
    <w:rsid w:val="00EE193A"/>
    <w:rsid w:val="00EE38FA"/>
    <w:rsid w:val="00EE3E2C"/>
    <w:rsid w:val="00EE5D23"/>
    <w:rsid w:val="00EE69B2"/>
    <w:rsid w:val="00EE750D"/>
    <w:rsid w:val="00EF2326"/>
    <w:rsid w:val="00EF26C9"/>
    <w:rsid w:val="00EF3CA4"/>
    <w:rsid w:val="00EF4622"/>
    <w:rsid w:val="00EF7859"/>
    <w:rsid w:val="00F014DA"/>
    <w:rsid w:val="00F02591"/>
    <w:rsid w:val="00F11FAB"/>
    <w:rsid w:val="00F1377F"/>
    <w:rsid w:val="00F33055"/>
    <w:rsid w:val="00F37CD2"/>
    <w:rsid w:val="00F46362"/>
    <w:rsid w:val="00F550A2"/>
    <w:rsid w:val="00F5696E"/>
    <w:rsid w:val="00F60EFF"/>
    <w:rsid w:val="00F64DF5"/>
    <w:rsid w:val="00F67AE7"/>
    <w:rsid w:val="00F67D2D"/>
    <w:rsid w:val="00F85623"/>
    <w:rsid w:val="00F858F2"/>
    <w:rsid w:val="00F860CC"/>
    <w:rsid w:val="00F87963"/>
    <w:rsid w:val="00F940C3"/>
    <w:rsid w:val="00F94398"/>
    <w:rsid w:val="00FA6C13"/>
    <w:rsid w:val="00FB2B56"/>
    <w:rsid w:val="00FB37E4"/>
    <w:rsid w:val="00FB55D5"/>
    <w:rsid w:val="00FC0312"/>
    <w:rsid w:val="00FC11AD"/>
    <w:rsid w:val="00FC12BF"/>
    <w:rsid w:val="00FC2C60"/>
    <w:rsid w:val="00FD3E6F"/>
    <w:rsid w:val="00FD51B9"/>
    <w:rsid w:val="00FD55EC"/>
    <w:rsid w:val="00FD5849"/>
    <w:rsid w:val="00FE2A39"/>
    <w:rsid w:val="00FF39CF"/>
    <w:rsid w:val="00FF55AA"/>
    <w:rsid w:val="00FF7159"/>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5:docId w15:val="{85151504-8A1F-46C3-99EB-23A90AF55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2"/>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F99"/>
  </w:style>
  <w:style w:type="paragraph" w:styleId="Heading1">
    <w:name w:val="heading 1"/>
    <w:basedOn w:val="Normal"/>
    <w:next w:val="Normal"/>
    <w:link w:val="Heading1Char"/>
    <w:uiPriority w:val="1"/>
    <w:qFormat/>
    <w:rsid w:val="001A576A"/>
    <w:pPr>
      <w:keepNext/>
      <w:keepLines/>
      <w:spacing w:before="240"/>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1A576A"/>
    <w:pPr>
      <w:keepNext/>
      <w:keepLines/>
      <w:spacing w:before="240"/>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1A576A"/>
    <w:pPr>
      <w:keepNext/>
      <w:keepLines/>
      <w:spacing w:before="240"/>
      <w:outlineLvl w:val="2"/>
    </w:pPr>
    <w:rPr>
      <w:rFonts w:cs="Arial"/>
      <w:b/>
      <w:bCs/>
      <w:sz w:val="24"/>
      <w:szCs w:val="26"/>
    </w:rPr>
  </w:style>
  <w:style w:type="paragraph" w:styleId="Heading4">
    <w:name w:val="heading 4"/>
    <w:basedOn w:val="Normal"/>
    <w:next w:val="Normal"/>
    <w:link w:val="Heading4Char"/>
    <w:uiPriority w:val="1"/>
    <w:qFormat/>
    <w:rsid w:val="001A576A"/>
    <w:pPr>
      <w:keepNext/>
      <w:keepLines/>
      <w:spacing w:before="240"/>
      <w:outlineLvl w:val="3"/>
    </w:pPr>
    <w:rPr>
      <w:rFonts w:eastAsiaTheme="majorEastAsia" w:cstheme="majorBidi"/>
      <w:b/>
      <w:bCs/>
      <w:iCs/>
      <w:color w:val="606060"/>
    </w:rPr>
  </w:style>
  <w:style w:type="paragraph" w:styleId="Heading5">
    <w:name w:val="heading 5"/>
    <w:basedOn w:val="Normal"/>
    <w:next w:val="Normal"/>
    <w:link w:val="Heading5Char"/>
    <w:uiPriority w:val="2"/>
    <w:semiHidden/>
    <w:rsid w:val="009A5F24"/>
    <w:pPr>
      <w:keepNext/>
      <w:keepLines/>
      <w:numPr>
        <w:ilvl w:val="4"/>
        <w:numId w:val="3"/>
      </w:numPr>
      <w:outlineLvl w:val="4"/>
    </w:pPr>
    <w:rPr>
      <w:b/>
      <w:color w:val="000000" w:themeColor="text1"/>
    </w:rPr>
  </w:style>
  <w:style w:type="paragraph" w:styleId="Heading6">
    <w:name w:val="heading 6"/>
    <w:basedOn w:val="Normal"/>
    <w:next w:val="Normal"/>
    <w:link w:val="Heading6Char"/>
    <w:uiPriority w:val="2"/>
    <w:semiHidden/>
    <w:rsid w:val="009A5F24"/>
    <w:pPr>
      <w:keepNext/>
      <w:keepLines/>
      <w:numPr>
        <w:ilvl w:val="5"/>
        <w:numId w:val="3"/>
      </w:numPr>
      <w:outlineLvl w:val="5"/>
    </w:pPr>
    <w:rPr>
      <w:b/>
      <w:color w:val="606060"/>
    </w:rPr>
  </w:style>
  <w:style w:type="paragraph" w:styleId="Heading7">
    <w:name w:val="heading 7"/>
    <w:basedOn w:val="Normal"/>
    <w:next w:val="Normal"/>
    <w:link w:val="Heading7Char"/>
    <w:uiPriority w:val="2"/>
    <w:semiHidden/>
    <w:rsid w:val="009A5F24"/>
    <w:pPr>
      <w:keepNext/>
      <w:keepLines/>
      <w:numPr>
        <w:ilvl w:val="6"/>
        <w:numId w:val="3"/>
      </w:numPr>
      <w:outlineLvl w:val="6"/>
    </w:pPr>
    <w:rPr>
      <w:b/>
      <w:color w:val="000000" w:themeColor="text1"/>
    </w:rPr>
  </w:style>
  <w:style w:type="paragraph" w:styleId="Heading8">
    <w:name w:val="heading 8"/>
    <w:basedOn w:val="Normal"/>
    <w:next w:val="Normal"/>
    <w:link w:val="Heading8Char"/>
    <w:uiPriority w:val="2"/>
    <w:semiHidden/>
    <w:rsid w:val="009A5F24"/>
    <w:pPr>
      <w:keepNext/>
      <w:keepLines/>
      <w:numPr>
        <w:ilvl w:val="7"/>
        <w:numId w:val="3"/>
      </w:numPr>
      <w:outlineLvl w:val="7"/>
    </w:pPr>
    <w:rPr>
      <w:b/>
      <w:color w:val="606060"/>
    </w:rPr>
  </w:style>
  <w:style w:type="paragraph" w:styleId="Heading9">
    <w:name w:val="heading 9"/>
    <w:basedOn w:val="Normal"/>
    <w:next w:val="Normal"/>
    <w:link w:val="Heading9Char"/>
    <w:uiPriority w:val="2"/>
    <w:semiHidden/>
    <w:rsid w:val="009A5F24"/>
    <w:pPr>
      <w:keepNext/>
      <w:keepLines/>
      <w:numPr>
        <w:ilvl w:val="8"/>
        <w:numId w:val="3"/>
      </w:numPr>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2"/>
    <w:rsid w:val="003504FD"/>
  </w:style>
  <w:style w:type="character" w:customStyle="1" w:styleId="Heading1Char">
    <w:name w:val="Heading 1 Char"/>
    <w:basedOn w:val="DefaultParagraphFont"/>
    <w:link w:val="Heading1"/>
    <w:uiPriority w:val="1"/>
    <w:rsid w:val="009A5F24"/>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A5F24"/>
    <w:rPr>
      <w:rFonts w:eastAsiaTheme="majorEastAsia" w:cstheme="majorBidi"/>
      <w:b/>
      <w:bCs/>
      <w:iCs/>
      <w:color w:val="606060"/>
      <w:sz w:val="28"/>
      <w:szCs w:val="28"/>
    </w:rPr>
  </w:style>
  <w:style w:type="paragraph" w:styleId="Title">
    <w:name w:val="Title"/>
    <w:next w:val="Normal"/>
    <w:link w:val="TitleChar"/>
    <w:uiPriority w:val="10"/>
    <w:rsid w:val="00BF5099"/>
    <w:pPr>
      <w:spacing w:after="240"/>
    </w:pPr>
    <w:rPr>
      <w:rFonts w:ascii="Arial Black" w:eastAsia="Times New Roman" w:hAnsi="Arial Black" w:cs="Arial"/>
      <w:b/>
      <w:color w:val="CB6015"/>
      <w:sz w:val="36"/>
      <w:szCs w:val="36"/>
      <w:lang w:eastAsia="en-AU"/>
    </w:rPr>
  </w:style>
  <w:style w:type="character" w:customStyle="1" w:styleId="TitleChar">
    <w:name w:val="Title Char"/>
    <w:basedOn w:val="DefaultParagraphFont"/>
    <w:link w:val="Title"/>
    <w:uiPriority w:val="10"/>
    <w:rsid w:val="0089500A"/>
    <w:rPr>
      <w:rFonts w:ascii="Arial Black" w:eastAsia="Times New Roman" w:hAnsi="Arial Black" w:cs="Arial"/>
      <w:b/>
      <w:color w:val="CB6015"/>
      <w:sz w:val="36"/>
      <w:szCs w:val="36"/>
      <w:lang w:eastAsia="en-AU"/>
    </w:rPr>
  </w:style>
  <w:style w:type="paragraph" w:styleId="Subtitle">
    <w:name w:val="Subtitle"/>
    <w:basedOn w:val="Normal"/>
    <w:next w:val="Normal"/>
    <w:link w:val="SubtitleChar"/>
    <w:uiPriority w:val="11"/>
    <w:semiHidden/>
    <w:rsid w:val="005654B8"/>
    <w:pPr>
      <w:spacing w:after="60"/>
      <w:jc w:val="center"/>
      <w:outlineLvl w:val="1"/>
    </w:pPr>
    <w:rPr>
      <w:rFonts w:eastAsiaTheme="majorEastAsia" w:cstheme="majorBidi"/>
      <w:sz w:val="24"/>
      <w:szCs w:val="24"/>
    </w:rPr>
  </w:style>
  <w:style w:type="character" w:customStyle="1" w:styleId="SubtitleChar">
    <w:name w:val="Subtitle Char"/>
    <w:basedOn w:val="DefaultParagraphFont"/>
    <w:link w:val="Subtitle"/>
    <w:uiPriority w:val="11"/>
    <w:semiHidden/>
    <w:rsid w:val="00EE3E2C"/>
    <w:rPr>
      <w:rFonts w:ascii="Arial" w:eastAsiaTheme="majorEastAsia" w:hAnsi="Arial" w:cstheme="majorBidi"/>
      <w:sz w:val="24"/>
      <w:szCs w:val="24"/>
      <w:lang w:eastAsia="en-AU"/>
    </w:rPr>
  </w:style>
  <w:style w:type="character" w:customStyle="1" w:styleId="Heading3Char">
    <w:name w:val="Heading 3 Char"/>
    <w:basedOn w:val="DefaultParagraphFont"/>
    <w:link w:val="Heading3"/>
    <w:uiPriority w:val="1"/>
    <w:rsid w:val="009A5F24"/>
    <w:rPr>
      <w:rFonts w:cs="Arial"/>
      <w:b/>
      <w:bCs/>
      <w:sz w:val="24"/>
      <w:szCs w:val="26"/>
    </w:rPr>
  </w:style>
  <w:style w:type="paragraph" w:styleId="BlockText">
    <w:name w:val="Block Text"/>
    <w:basedOn w:val="Normal"/>
    <w:semiHidden/>
    <w:rsid w:val="00414CB3"/>
    <w:rPr>
      <w:rFonts w:eastAsiaTheme="minorEastAsia"/>
      <w:iCs/>
    </w:rPr>
  </w:style>
  <w:style w:type="paragraph" w:styleId="Header">
    <w:name w:val="header"/>
    <w:aliases w:val="NTG Page Header"/>
    <w:basedOn w:val="Normal"/>
    <w:next w:val="Normal"/>
    <w:link w:val="HeaderChar"/>
    <w:uiPriority w:val="11"/>
    <w:semiHidden/>
    <w:rsid w:val="005A4AC0"/>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11"/>
    <w:semiHidden/>
    <w:rsid w:val="00B606A1"/>
    <w:rPr>
      <w:b/>
    </w:rPr>
  </w:style>
  <w:style w:type="paragraph" w:styleId="Footer">
    <w:name w:val="footer"/>
    <w:basedOn w:val="Normal"/>
    <w:link w:val="FooterChar"/>
    <w:uiPriority w:val="99"/>
    <w:semiHidden/>
    <w:rsid w:val="00B02EF1"/>
    <w:pPr>
      <w:tabs>
        <w:tab w:val="center" w:pos="4513"/>
        <w:tab w:val="right" w:pos="9026"/>
      </w:tabs>
      <w:spacing w:after="0"/>
    </w:pPr>
  </w:style>
  <w:style w:type="character" w:customStyle="1" w:styleId="FooterChar">
    <w:name w:val="Footer Char"/>
    <w:basedOn w:val="DefaultParagraphFont"/>
    <w:link w:val="Footer"/>
    <w:uiPriority w:val="99"/>
    <w:semiHidden/>
    <w:rsid w:val="00595386"/>
    <w:rPr>
      <w:rFonts w:ascii="Arial" w:eastAsia="Times New Roman" w:hAnsi="Arial"/>
      <w:sz w:val="22"/>
      <w:lang w:eastAsia="en-AU"/>
    </w:rPr>
  </w:style>
  <w:style w:type="paragraph" w:customStyle="1" w:styleId="SubTitle0">
    <w:name w:val="Sub Title"/>
    <w:basedOn w:val="Normal"/>
    <w:semiHidden/>
    <w:rsid w:val="004864DE"/>
    <w:pPr>
      <w:spacing w:after="0"/>
    </w:pPr>
    <w:rPr>
      <w:b/>
      <w:sz w:val="32"/>
      <w:szCs w:val="24"/>
      <w:lang w:val="en-US"/>
    </w:rPr>
  </w:style>
  <w:style w:type="character" w:customStyle="1" w:styleId="Heading4Char">
    <w:name w:val="Heading 4 Char"/>
    <w:basedOn w:val="DefaultParagraphFont"/>
    <w:link w:val="Heading4"/>
    <w:uiPriority w:val="1"/>
    <w:rsid w:val="009A5F24"/>
    <w:rPr>
      <w:rFonts w:eastAsiaTheme="majorEastAsia" w:cstheme="majorBidi"/>
      <w:b/>
      <w:bCs/>
      <w:iCs/>
      <w:color w:val="606060"/>
    </w:rPr>
  </w:style>
  <w:style w:type="paragraph" w:styleId="NormalWeb">
    <w:name w:val="Normal (Web)"/>
    <w:basedOn w:val="Normal"/>
    <w:uiPriority w:val="99"/>
    <w:semiHidden/>
    <w:unhideWhenUsed/>
    <w:rsid w:val="00342283"/>
    <w:rPr>
      <w:rFonts w:ascii="Times New Roman" w:hAnsi="Times New Roman"/>
      <w:sz w:val="24"/>
      <w:szCs w:val="24"/>
    </w:rPr>
  </w:style>
  <w:style w:type="character" w:styleId="PlaceholderText">
    <w:name w:val="Placeholder Text"/>
    <w:basedOn w:val="DefaultParagraphFont"/>
    <w:uiPriority w:val="99"/>
    <w:semiHidden/>
    <w:rsid w:val="005762CC"/>
    <w:rPr>
      <w:color w:val="808080"/>
    </w:rPr>
  </w:style>
  <w:style w:type="paragraph" w:styleId="ListParagraph">
    <w:name w:val="List Paragraph"/>
    <w:aliases w:val="Level 1 bullet,Business Requirements,Bullet List Paragraph,Bullet Main,List Paragraph1,List Paragraph11,List Paragraph111,L,F5 List Paragraph,Dot pt,CV text,Medium Grid 1 - Accent 21,Numbered Paragraph,List Paragraph2,NFP GP Bulleted List"/>
    <w:basedOn w:val="BlockText"/>
    <w:link w:val="ListParagraphChar"/>
    <w:uiPriority w:val="34"/>
    <w:qFormat/>
    <w:rsid w:val="003B6A61"/>
    <w:pPr>
      <w:spacing w:after="120"/>
    </w:pPr>
  </w:style>
  <w:style w:type="table" w:styleId="TableGrid">
    <w:name w:val="Table Grid"/>
    <w:basedOn w:val="TableNormal"/>
    <w:uiPriority w:val="59"/>
    <w:rsid w:val="00132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Footer1items">
    <w:name w:val="NTG Footer 1 items"/>
    <w:basedOn w:val="Normal"/>
    <w:link w:val="NTGFooter1itemsChar"/>
    <w:uiPriority w:val="7"/>
    <w:rsid w:val="00705C9D"/>
    <w:pPr>
      <w:widowControl w:val="0"/>
      <w:tabs>
        <w:tab w:val="left" w:pos="1778"/>
        <w:tab w:val="right" w:pos="9026"/>
      </w:tabs>
      <w:spacing w:after="0"/>
    </w:pPr>
    <w:rPr>
      <w:rFonts w:cs="Arial"/>
      <w:sz w:val="20"/>
      <w:szCs w:val="16"/>
    </w:rPr>
  </w:style>
  <w:style w:type="paragraph" w:customStyle="1" w:styleId="NTGFooterDepartmentof">
    <w:name w:val="NTG Footer Department of"/>
    <w:link w:val="NTGFooterDepartmentofChar"/>
    <w:uiPriority w:val="7"/>
    <w:rsid w:val="00705C9D"/>
    <w:pPr>
      <w:widowControl w:val="0"/>
      <w:tabs>
        <w:tab w:val="right" w:pos="9026"/>
      </w:tabs>
    </w:pPr>
    <w:rPr>
      <w:rFonts w:cs="Arial"/>
      <w:caps/>
      <w:szCs w:val="16"/>
    </w:rPr>
  </w:style>
  <w:style w:type="paragraph" w:customStyle="1" w:styleId="NTGFooterDepartmentName">
    <w:name w:val="NTG Footer Department Name"/>
    <w:link w:val="NTGFooterDepartmentNameChar"/>
    <w:uiPriority w:val="7"/>
    <w:rsid w:val="00705C9D"/>
    <w:pPr>
      <w:widowControl w:val="0"/>
      <w:tabs>
        <w:tab w:val="right" w:pos="9026"/>
      </w:tabs>
    </w:pPr>
    <w:rPr>
      <w:rFonts w:ascii="Arial Black" w:hAnsi="Arial Black" w:cs="Arial"/>
      <w:caps/>
      <w:szCs w:val="16"/>
    </w:rPr>
  </w:style>
  <w:style w:type="character" w:customStyle="1" w:styleId="NTGFooter1itemsChar">
    <w:name w:val="NTG Footer 1 items Char"/>
    <w:basedOn w:val="DefaultParagraphFont"/>
    <w:link w:val="NTGFooter1items"/>
    <w:uiPriority w:val="7"/>
    <w:rsid w:val="00C52BC3"/>
    <w:rPr>
      <w:rFonts w:cs="Arial"/>
      <w:sz w:val="20"/>
      <w:szCs w:val="16"/>
    </w:rPr>
  </w:style>
  <w:style w:type="character" w:customStyle="1" w:styleId="NTGFooterDepartmentofChar">
    <w:name w:val="NTG Footer Department of Char"/>
    <w:basedOn w:val="DefaultParagraphFont"/>
    <w:link w:val="NTGFooterDepartmentof"/>
    <w:uiPriority w:val="7"/>
    <w:rsid w:val="00C52BC3"/>
    <w:rPr>
      <w:rFonts w:cs="Arial"/>
      <w:caps/>
      <w:szCs w:val="16"/>
    </w:rPr>
  </w:style>
  <w:style w:type="character" w:customStyle="1" w:styleId="NTGFooterDepartmentNameChar">
    <w:name w:val="NTG Footer Department Name Char"/>
    <w:basedOn w:val="NTGFooterDepartmentofChar"/>
    <w:link w:val="NTGFooterDepartmentName"/>
    <w:uiPriority w:val="7"/>
    <w:rsid w:val="00C52BC3"/>
    <w:rPr>
      <w:rFonts w:ascii="Arial Black" w:hAnsi="Arial Black" w:cs="Arial"/>
      <w:caps/>
      <w:szCs w:val="16"/>
    </w:rPr>
  </w:style>
  <w:style w:type="paragraph" w:customStyle="1" w:styleId="Appendix">
    <w:name w:val="Appendix"/>
    <w:basedOn w:val="Heading1"/>
    <w:next w:val="Normal"/>
    <w:uiPriority w:val="11"/>
    <w:semiHidden/>
    <w:qFormat/>
    <w:rsid w:val="00414CB3"/>
  </w:style>
  <w:style w:type="paragraph" w:styleId="BodyText">
    <w:name w:val="Body Text"/>
    <w:basedOn w:val="Normal"/>
    <w:link w:val="BodyTextChar"/>
    <w:uiPriority w:val="99"/>
    <w:semiHidden/>
    <w:rsid w:val="00414CB3"/>
    <w:pPr>
      <w:spacing w:after="120"/>
    </w:pPr>
  </w:style>
  <w:style w:type="character" w:customStyle="1" w:styleId="BodyTextChar">
    <w:name w:val="Body Text Char"/>
    <w:basedOn w:val="DefaultParagraphFont"/>
    <w:link w:val="BodyText"/>
    <w:uiPriority w:val="99"/>
    <w:semiHidden/>
    <w:rsid w:val="00414CB3"/>
    <w:rPr>
      <w:rFonts w:ascii="Arial" w:hAnsi="Arial"/>
      <w:sz w:val="22"/>
      <w:szCs w:val="22"/>
    </w:rPr>
  </w:style>
  <w:style w:type="paragraph" w:customStyle="1" w:styleId="NTGFooter2DateVersion">
    <w:name w:val="NTG Footer 2 Date &amp; Version"/>
    <w:basedOn w:val="NTGFooter2deptpagenum"/>
    <w:link w:val="NTGFooter2DateVersionChar"/>
    <w:uiPriority w:val="9"/>
    <w:semiHidden/>
    <w:rsid w:val="002926BC"/>
    <w:pPr>
      <w:spacing w:after="480"/>
    </w:pPr>
  </w:style>
  <w:style w:type="numbering" w:customStyle="1" w:styleId="Bulletlist">
    <w:name w:val="Bullet list"/>
    <w:basedOn w:val="NoList"/>
    <w:rsid w:val="009F2A4D"/>
    <w:pPr>
      <w:numPr>
        <w:numId w:val="1"/>
      </w:numPr>
    </w:pPr>
  </w:style>
  <w:style w:type="table" w:styleId="TableGridLight">
    <w:name w:val="Grid Table Light"/>
    <w:basedOn w:val="TableNormal"/>
    <w:uiPriority w:val="40"/>
    <w:rsid w:val="00B2599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Theme">
    <w:name w:val="Table Theme"/>
    <w:basedOn w:val="TableNormal"/>
    <w:uiPriority w:val="99"/>
    <w:semiHidden/>
    <w:unhideWhenUsed/>
    <w:rsid w:val="00414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2"/>
    <w:semiHidden/>
    <w:rsid w:val="00EE750D"/>
    <w:rPr>
      <w:b/>
      <w:color w:val="000000" w:themeColor="text1"/>
    </w:rPr>
  </w:style>
  <w:style w:type="character" w:customStyle="1" w:styleId="Heading6Char">
    <w:name w:val="Heading 6 Char"/>
    <w:basedOn w:val="DefaultParagraphFont"/>
    <w:link w:val="Heading6"/>
    <w:uiPriority w:val="2"/>
    <w:semiHidden/>
    <w:rsid w:val="00EE750D"/>
    <w:rPr>
      <w:b/>
      <w:color w:val="606060"/>
    </w:rPr>
  </w:style>
  <w:style w:type="character" w:customStyle="1" w:styleId="Heading7Char">
    <w:name w:val="Heading 7 Char"/>
    <w:basedOn w:val="DefaultParagraphFont"/>
    <w:link w:val="Heading7"/>
    <w:uiPriority w:val="2"/>
    <w:semiHidden/>
    <w:rsid w:val="00EE750D"/>
    <w:rPr>
      <w:b/>
      <w:color w:val="000000" w:themeColor="text1"/>
    </w:rPr>
  </w:style>
  <w:style w:type="character" w:customStyle="1" w:styleId="Heading8Char">
    <w:name w:val="Heading 8 Char"/>
    <w:basedOn w:val="DefaultParagraphFont"/>
    <w:link w:val="Heading8"/>
    <w:uiPriority w:val="2"/>
    <w:semiHidden/>
    <w:rsid w:val="00EE750D"/>
    <w:rPr>
      <w:b/>
      <w:color w:val="606060"/>
    </w:rPr>
  </w:style>
  <w:style w:type="character" w:customStyle="1" w:styleId="Heading9Char">
    <w:name w:val="Heading 9 Char"/>
    <w:basedOn w:val="DefaultParagraphFont"/>
    <w:link w:val="Heading9"/>
    <w:uiPriority w:val="2"/>
    <w:semiHidden/>
    <w:rsid w:val="00EE750D"/>
    <w:rPr>
      <w:b/>
      <w:color w:val="000000" w:themeColor="text1"/>
    </w:rPr>
  </w:style>
  <w:style w:type="paragraph" w:customStyle="1" w:styleId="NTGFooter2deptpagenum">
    <w:name w:val="NTG Footer 2 dept &amp; page num"/>
    <w:basedOn w:val="Normal"/>
    <w:link w:val="NTGFooter2deptpagenumChar"/>
    <w:uiPriority w:val="9"/>
    <w:semiHidden/>
    <w:rsid w:val="002926BC"/>
    <w:pPr>
      <w:tabs>
        <w:tab w:val="right" w:pos="9639"/>
      </w:tabs>
      <w:spacing w:after="0"/>
    </w:pPr>
    <w:rPr>
      <w:sz w:val="20"/>
    </w:rPr>
  </w:style>
  <w:style w:type="character" w:customStyle="1" w:styleId="NTGFooter2deptpagenumChar">
    <w:name w:val="NTG Footer 2 dept &amp; page num Char"/>
    <w:basedOn w:val="DefaultParagraphFont"/>
    <w:link w:val="NTGFooter2deptpagenum"/>
    <w:uiPriority w:val="9"/>
    <w:semiHidden/>
    <w:rsid w:val="00C52BC3"/>
    <w:rPr>
      <w:sz w:val="20"/>
    </w:rPr>
  </w:style>
  <w:style w:type="character" w:customStyle="1" w:styleId="NTGFooter2DateVersionChar">
    <w:name w:val="NTG Footer 2 Date &amp; Version Char"/>
    <w:basedOn w:val="NTGFooter2deptpagenumChar"/>
    <w:link w:val="NTGFooter2DateVersion"/>
    <w:uiPriority w:val="9"/>
    <w:semiHidden/>
    <w:rsid w:val="00C52BC3"/>
    <w:rPr>
      <w:sz w:val="20"/>
    </w:rPr>
  </w:style>
  <w:style w:type="numbering" w:customStyle="1" w:styleId="Numberlist">
    <w:name w:val="Number list"/>
    <w:uiPriority w:val="99"/>
    <w:rsid w:val="007C6D9F"/>
    <w:pPr>
      <w:numPr>
        <w:numId w:val="2"/>
      </w:numPr>
    </w:pPr>
  </w:style>
  <w:style w:type="paragraph" w:styleId="ListNumber">
    <w:name w:val="List Number"/>
    <w:aliases w:val="Number list level 1"/>
    <w:basedOn w:val="Normal"/>
    <w:uiPriority w:val="99"/>
    <w:qFormat/>
    <w:rsid w:val="00A22C38"/>
    <w:pPr>
      <w:spacing w:after="120"/>
    </w:pPr>
  </w:style>
  <w:style w:type="paragraph" w:styleId="ListNumber2">
    <w:name w:val="List Number 2"/>
    <w:aliases w:val="Number list level 2"/>
    <w:basedOn w:val="Normal"/>
    <w:uiPriority w:val="99"/>
    <w:rsid w:val="00A22C38"/>
    <w:pPr>
      <w:spacing w:after="120"/>
    </w:pPr>
  </w:style>
  <w:style w:type="paragraph" w:styleId="ListNumber3">
    <w:name w:val="List Number 3"/>
    <w:aliases w:val="Number list level 3"/>
    <w:basedOn w:val="Normal"/>
    <w:uiPriority w:val="99"/>
    <w:rsid w:val="00A22C38"/>
    <w:pPr>
      <w:spacing w:after="120"/>
    </w:pPr>
  </w:style>
  <w:style w:type="paragraph" w:styleId="ListNumber4">
    <w:name w:val="List Number 4"/>
    <w:aliases w:val="Number list level 4"/>
    <w:basedOn w:val="Normal"/>
    <w:uiPriority w:val="99"/>
    <w:rsid w:val="00A22C38"/>
    <w:pPr>
      <w:spacing w:after="120"/>
    </w:pPr>
  </w:style>
  <w:style w:type="paragraph" w:styleId="ListNumber5">
    <w:name w:val="List Number 5"/>
    <w:aliases w:val="List number 5 - with space"/>
    <w:basedOn w:val="Normal"/>
    <w:uiPriority w:val="99"/>
    <w:rsid w:val="00A22C38"/>
    <w:pPr>
      <w:spacing w:after="120"/>
    </w:pPr>
  </w:style>
  <w:style w:type="paragraph" w:styleId="ListBullet">
    <w:name w:val="List Bullet"/>
    <w:aliases w:val="Bullet list level 1"/>
    <w:basedOn w:val="Normal"/>
    <w:uiPriority w:val="4"/>
    <w:semiHidden/>
    <w:rsid w:val="00176123"/>
    <w:pPr>
      <w:numPr>
        <w:numId w:val="8"/>
      </w:numPr>
      <w:spacing w:after="120"/>
      <w:ind w:left="0" w:firstLine="0"/>
    </w:pPr>
  </w:style>
  <w:style w:type="paragraph" w:styleId="ListBullet2">
    <w:name w:val="List Bullet 2"/>
    <w:aliases w:val="Bullet list level 2"/>
    <w:basedOn w:val="Normal"/>
    <w:uiPriority w:val="4"/>
    <w:semiHidden/>
    <w:rsid w:val="006847AD"/>
    <w:pPr>
      <w:numPr>
        <w:ilvl w:val="1"/>
        <w:numId w:val="8"/>
      </w:numPr>
      <w:spacing w:after="120"/>
    </w:pPr>
  </w:style>
  <w:style w:type="paragraph" w:styleId="ListBullet3">
    <w:name w:val="List Bullet 3"/>
    <w:aliases w:val="Bullet list level 3"/>
    <w:basedOn w:val="Normal"/>
    <w:uiPriority w:val="4"/>
    <w:semiHidden/>
    <w:rsid w:val="006847AD"/>
    <w:pPr>
      <w:numPr>
        <w:ilvl w:val="2"/>
        <w:numId w:val="8"/>
      </w:numPr>
      <w:spacing w:after="120"/>
    </w:pPr>
  </w:style>
  <w:style w:type="paragraph" w:styleId="ListBullet4">
    <w:name w:val="List Bullet 4"/>
    <w:aliases w:val="Bullet list level 4"/>
    <w:basedOn w:val="Normal"/>
    <w:uiPriority w:val="4"/>
    <w:semiHidden/>
    <w:rsid w:val="006847AD"/>
    <w:pPr>
      <w:numPr>
        <w:ilvl w:val="3"/>
        <w:numId w:val="8"/>
      </w:numPr>
      <w:spacing w:after="120"/>
    </w:pPr>
  </w:style>
  <w:style w:type="paragraph" w:styleId="ListBullet5">
    <w:name w:val="List Bullet 5"/>
    <w:aliases w:val="Bullet list level 5"/>
    <w:basedOn w:val="Normal"/>
    <w:uiPriority w:val="4"/>
    <w:semiHidden/>
    <w:rsid w:val="004E2CB7"/>
    <w:pPr>
      <w:numPr>
        <w:ilvl w:val="4"/>
        <w:numId w:val="8"/>
      </w:numPr>
      <w:ind w:left="1008" w:hanging="1008"/>
    </w:pPr>
  </w:style>
  <w:style w:type="character" w:styleId="Hyperlink">
    <w:name w:val="Hyperlink"/>
    <w:basedOn w:val="DefaultParagraphFont"/>
    <w:uiPriority w:val="99"/>
    <w:rsid w:val="002F0DB1"/>
    <w:rPr>
      <w:color w:val="0563C1" w:themeColor="hyperlink"/>
      <w:u w:val="single"/>
    </w:rPr>
  </w:style>
  <w:style w:type="paragraph" w:styleId="TOCHeading">
    <w:name w:val="TOC Heading"/>
    <w:basedOn w:val="Heading1"/>
    <w:next w:val="Normal"/>
    <w:uiPriority w:val="39"/>
    <w:semiHidden/>
    <w:qFormat/>
    <w:rsid w:val="003B67FD"/>
    <w:pPr>
      <w:spacing w:before="480" w:after="0"/>
      <w:outlineLvl w:val="9"/>
    </w:pPr>
    <w:rPr>
      <w:kern w:val="0"/>
      <w:szCs w:val="28"/>
    </w:rPr>
  </w:style>
  <w:style w:type="paragraph" w:styleId="TOC1">
    <w:name w:val="toc 1"/>
    <w:basedOn w:val="Normal"/>
    <w:next w:val="Normal"/>
    <w:autoRedefine/>
    <w:uiPriority w:val="39"/>
    <w:semiHidden/>
    <w:rsid w:val="007859CD"/>
    <w:pPr>
      <w:spacing w:after="100"/>
    </w:pPr>
  </w:style>
  <w:style w:type="paragraph" w:styleId="TOC2">
    <w:name w:val="toc 2"/>
    <w:basedOn w:val="Normal"/>
    <w:next w:val="Normal"/>
    <w:autoRedefine/>
    <w:uiPriority w:val="39"/>
    <w:semiHidden/>
    <w:rsid w:val="007859CD"/>
    <w:pPr>
      <w:spacing w:after="100"/>
      <w:ind w:left="220"/>
    </w:pPr>
  </w:style>
  <w:style w:type="paragraph" w:styleId="TOC3">
    <w:name w:val="toc 3"/>
    <w:basedOn w:val="Normal"/>
    <w:next w:val="Normal"/>
    <w:autoRedefine/>
    <w:uiPriority w:val="39"/>
    <w:semiHidden/>
    <w:rsid w:val="007859CD"/>
    <w:pPr>
      <w:spacing w:after="100"/>
      <w:ind w:left="440"/>
    </w:pPr>
  </w:style>
  <w:style w:type="paragraph" w:customStyle="1" w:styleId="Tablebulletlistlevel1">
    <w:name w:val="Table bullet list level 1"/>
    <w:uiPriority w:val="6"/>
    <w:rsid w:val="002716CD"/>
    <w:pPr>
      <w:numPr>
        <w:numId w:val="7"/>
      </w:numPr>
      <w:spacing w:after="20"/>
    </w:pPr>
  </w:style>
  <w:style w:type="paragraph" w:customStyle="1" w:styleId="Tablebulletlistlevel2">
    <w:name w:val="Table bullet list level 2"/>
    <w:basedOn w:val="Tablebulletlistlevel1"/>
    <w:uiPriority w:val="6"/>
    <w:semiHidden/>
    <w:rsid w:val="002716CD"/>
    <w:pPr>
      <w:numPr>
        <w:ilvl w:val="1"/>
      </w:numPr>
    </w:pPr>
  </w:style>
  <w:style w:type="paragraph" w:customStyle="1" w:styleId="Tablebulletlistlevel3">
    <w:name w:val="Table bullet list level 3"/>
    <w:basedOn w:val="Tablebulletlistlevel2"/>
    <w:uiPriority w:val="6"/>
    <w:semiHidden/>
    <w:qFormat/>
    <w:rsid w:val="002716CD"/>
    <w:pPr>
      <w:numPr>
        <w:ilvl w:val="2"/>
      </w:numPr>
    </w:pPr>
  </w:style>
  <w:style w:type="paragraph" w:customStyle="1" w:styleId="Tablebulletlistlevel4">
    <w:name w:val="Table bullet list level 4"/>
    <w:basedOn w:val="Tablebulletlistlevel3"/>
    <w:uiPriority w:val="6"/>
    <w:semiHidden/>
    <w:qFormat/>
    <w:rsid w:val="002716CD"/>
    <w:pPr>
      <w:numPr>
        <w:ilvl w:val="3"/>
      </w:numPr>
    </w:pPr>
  </w:style>
  <w:style w:type="paragraph" w:customStyle="1" w:styleId="Tablebulletlistlevel5">
    <w:name w:val="Table bullet list level 5"/>
    <w:basedOn w:val="Tablebulletlistlevel4"/>
    <w:uiPriority w:val="6"/>
    <w:semiHidden/>
    <w:qFormat/>
    <w:rsid w:val="002716CD"/>
    <w:pPr>
      <w:numPr>
        <w:ilvl w:val="4"/>
      </w:numPr>
    </w:pPr>
  </w:style>
  <w:style w:type="paragraph" w:customStyle="1" w:styleId="Tablebulletlistlevel6">
    <w:name w:val="Table bullet list level 6"/>
    <w:basedOn w:val="Tablebulletlistlevel5"/>
    <w:uiPriority w:val="6"/>
    <w:semiHidden/>
    <w:qFormat/>
    <w:rsid w:val="001D7CA4"/>
    <w:pPr>
      <w:numPr>
        <w:ilvl w:val="5"/>
      </w:numPr>
    </w:pPr>
  </w:style>
  <w:style w:type="paragraph" w:customStyle="1" w:styleId="Tablebulletlistlevel7">
    <w:name w:val="Table bullet list level 7"/>
    <w:basedOn w:val="Tablebulletlistlevel6"/>
    <w:uiPriority w:val="6"/>
    <w:semiHidden/>
    <w:qFormat/>
    <w:rsid w:val="002716CD"/>
    <w:pPr>
      <w:numPr>
        <w:ilvl w:val="6"/>
      </w:numPr>
    </w:pPr>
  </w:style>
  <w:style w:type="paragraph" w:customStyle="1" w:styleId="Tablebulletlistlevel8">
    <w:name w:val="Table bullet list level 8"/>
    <w:basedOn w:val="Tablebulletlistlevel7"/>
    <w:uiPriority w:val="6"/>
    <w:semiHidden/>
    <w:qFormat/>
    <w:rsid w:val="002716CD"/>
    <w:pPr>
      <w:numPr>
        <w:ilvl w:val="7"/>
      </w:numPr>
    </w:pPr>
  </w:style>
  <w:style w:type="paragraph" w:customStyle="1" w:styleId="Tablebulletlistlevel9">
    <w:name w:val="Table bullet list level 9"/>
    <w:basedOn w:val="Tablebulletlistlevel8"/>
    <w:uiPriority w:val="6"/>
    <w:semiHidden/>
    <w:qFormat/>
    <w:rsid w:val="002716CD"/>
    <w:pPr>
      <w:numPr>
        <w:ilvl w:val="8"/>
      </w:numPr>
    </w:pPr>
  </w:style>
  <w:style w:type="numbering" w:customStyle="1" w:styleId="Tablebulletlist">
    <w:name w:val="Table bullet list"/>
    <w:uiPriority w:val="99"/>
    <w:rsid w:val="002716CD"/>
    <w:pPr>
      <w:numPr>
        <w:numId w:val="4"/>
      </w:numPr>
    </w:pPr>
  </w:style>
  <w:style w:type="paragraph" w:customStyle="1" w:styleId="Tablenumberlistlevel1">
    <w:name w:val="Table number list level 1"/>
    <w:uiPriority w:val="7"/>
    <w:rsid w:val="002716CD"/>
    <w:pPr>
      <w:numPr>
        <w:numId w:val="6"/>
      </w:numPr>
      <w:spacing w:after="20"/>
    </w:pPr>
  </w:style>
  <w:style w:type="paragraph" w:customStyle="1" w:styleId="Tablenumberlistlevel2">
    <w:name w:val="Table number list level 2"/>
    <w:basedOn w:val="Tablenumberlistlevel1"/>
    <w:uiPriority w:val="7"/>
    <w:semiHidden/>
    <w:rsid w:val="002716CD"/>
    <w:pPr>
      <w:numPr>
        <w:ilvl w:val="1"/>
      </w:numPr>
    </w:pPr>
  </w:style>
  <w:style w:type="paragraph" w:customStyle="1" w:styleId="Tablenumberlistlevel3">
    <w:name w:val="Table number list level 3"/>
    <w:basedOn w:val="Tablenumberlistlevel2"/>
    <w:uiPriority w:val="7"/>
    <w:semiHidden/>
    <w:qFormat/>
    <w:rsid w:val="002716CD"/>
    <w:pPr>
      <w:numPr>
        <w:ilvl w:val="2"/>
      </w:numPr>
    </w:pPr>
  </w:style>
  <w:style w:type="paragraph" w:customStyle="1" w:styleId="Tablenumberlistlevel4">
    <w:name w:val="Table number list level 4"/>
    <w:basedOn w:val="Tablenumberlistlevel3"/>
    <w:uiPriority w:val="7"/>
    <w:semiHidden/>
    <w:qFormat/>
    <w:rsid w:val="002716CD"/>
    <w:pPr>
      <w:numPr>
        <w:ilvl w:val="3"/>
      </w:numPr>
    </w:pPr>
  </w:style>
  <w:style w:type="paragraph" w:customStyle="1" w:styleId="Tablenumberlistlevel5">
    <w:name w:val="Table number list level 5"/>
    <w:basedOn w:val="Tablenumberlistlevel4"/>
    <w:uiPriority w:val="7"/>
    <w:semiHidden/>
    <w:qFormat/>
    <w:rsid w:val="002716CD"/>
    <w:pPr>
      <w:numPr>
        <w:ilvl w:val="4"/>
      </w:numPr>
    </w:pPr>
  </w:style>
  <w:style w:type="paragraph" w:customStyle="1" w:styleId="Tablenumberlistlevel6">
    <w:name w:val="Table number list level 6"/>
    <w:basedOn w:val="Tablenumberlistlevel5"/>
    <w:uiPriority w:val="7"/>
    <w:semiHidden/>
    <w:qFormat/>
    <w:rsid w:val="002716CD"/>
    <w:pPr>
      <w:numPr>
        <w:ilvl w:val="5"/>
      </w:numPr>
    </w:pPr>
  </w:style>
  <w:style w:type="paragraph" w:customStyle="1" w:styleId="Tablenumberlistlevel7">
    <w:name w:val="Table number list level 7"/>
    <w:basedOn w:val="Tablenumberlistlevel6"/>
    <w:uiPriority w:val="7"/>
    <w:semiHidden/>
    <w:qFormat/>
    <w:rsid w:val="002716CD"/>
    <w:pPr>
      <w:numPr>
        <w:ilvl w:val="6"/>
      </w:numPr>
    </w:pPr>
  </w:style>
  <w:style w:type="paragraph" w:customStyle="1" w:styleId="Tablenumberlistlevel8">
    <w:name w:val="Table number list level 8"/>
    <w:basedOn w:val="Tablenumberlistlevel7"/>
    <w:uiPriority w:val="7"/>
    <w:semiHidden/>
    <w:qFormat/>
    <w:rsid w:val="002716CD"/>
    <w:pPr>
      <w:numPr>
        <w:ilvl w:val="7"/>
      </w:numPr>
    </w:pPr>
  </w:style>
  <w:style w:type="paragraph" w:customStyle="1" w:styleId="Tablenumberlistlevel9">
    <w:name w:val="Table number list level 9"/>
    <w:basedOn w:val="Tablenumberlistlevel8"/>
    <w:uiPriority w:val="7"/>
    <w:semiHidden/>
    <w:qFormat/>
    <w:rsid w:val="002716CD"/>
    <w:pPr>
      <w:numPr>
        <w:ilvl w:val="8"/>
      </w:numPr>
    </w:pPr>
  </w:style>
  <w:style w:type="numbering" w:customStyle="1" w:styleId="Tablenumberlist">
    <w:name w:val="Table number list"/>
    <w:uiPriority w:val="99"/>
    <w:rsid w:val="002716CD"/>
    <w:pPr>
      <w:numPr>
        <w:numId w:val="5"/>
      </w:numPr>
    </w:pPr>
  </w:style>
  <w:style w:type="table" w:styleId="GridTable1Light-Accent4">
    <w:name w:val="Grid Table 1 Light Accent 4"/>
    <w:basedOn w:val="TableNormal"/>
    <w:uiPriority w:val="46"/>
    <w:rsid w:val="00EB0A3C"/>
    <w:pPr>
      <w:spacing w:after="0"/>
    </w:pPr>
    <w:tblPr>
      <w:tblStyleRowBandSize w:val="1"/>
      <w:tblStyleColBandSize w:val="1"/>
      <w:tblBorders>
        <w:top w:val="single" w:sz="4" w:space="0" w:color="D3B0DA" w:themeColor="accent4" w:themeTint="66"/>
        <w:left w:val="single" w:sz="4" w:space="0" w:color="D3B0DA" w:themeColor="accent4" w:themeTint="66"/>
        <w:bottom w:val="single" w:sz="4" w:space="0" w:color="D3B0DA" w:themeColor="accent4" w:themeTint="66"/>
        <w:right w:val="single" w:sz="4" w:space="0" w:color="D3B0DA" w:themeColor="accent4" w:themeTint="66"/>
        <w:insideH w:val="single" w:sz="4" w:space="0" w:color="D3B0DA" w:themeColor="accent4" w:themeTint="66"/>
        <w:insideV w:val="single" w:sz="4" w:space="0" w:color="D3B0DA" w:themeColor="accent4" w:themeTint="66"/>
      </w:tblBorders>
    </w:tblPr>
    <w:tblStylePr w:type="firstRow">
      <w:rPr>
        <w:b/>
        <w:bCs/>
      </w:rPr>
      <w:tblPr/>
      <w:tcPr>
        <w:tcBorders>
          <w:bottom w:val="single" w:sz="12" w:space="0" w:color="BE89C8" w:themeColor="accent4" w:themeTint="99"/>
        </w:tcBorders>
      </w:tcPr>
    </w:tblStylePr>
    <w:tblStylePr w:type="lastRow">
      <w:rPr>
        <w:b/>
        <w:bCs/>
      </w:rPr>
      <w:tblPr/>
      <w:tcPr>
        <w:tcBorders>
          <w:top w:val="double" w:sz="2" w:space="0" w:color="BE89C8" w:themeColor="accent4" w:themeTint="99"/>
        </w:tcBorders>
      </w:tcPr>
    </w:tblStylePr>
    <w:tblStylePr w:type="firstCol">
      <w:rPr>
        <w:b/>
        <w:bCs/>
      </w:rPr>
    </w:tblStylePr>
    <w:tblStylePr w:type="lastCol">
      <w:rPr>
        <w:b/>
        <w:bCs/>
      </w:rPr>
    </w:tblStylePr>
  </w:style>
  <w:style w:type="table" w:customStyle="1" w:styleId="NTGTable">
    <w:name w:val="NTG Table"/>
    <w:basedOn w:val="TableGrid"/>
    <w:uiPriority w:val="99"/>
    <w:rsid w:val="003D0F63"/>
    <w:pPr>
      <w:spacing w:after="40"/>
    </w:pPr>
    <w:rPr>
      <w:szCs w:val="20"/>
      <w:lang w:eastAsia="en-AU"/>
    </w:rPr>
    <w:tblPr>
      <w:tblStyleRowBandSize w:val="1"/>
      <w:tblStyleColBandSize w:val="1"/>
    </w:tblPr>
    <w:trPr>
      <w:cantSplit/>
    </w:trPr>
    <w:tcPr>
      <w:shd w:val="clear" w:color="auto" w:fill="auto"/>
    </w:tcPr>
    <w:tblStylePr w:type="firstRow">
      <w:pPr>
        <w:wordWrap/>
        <w:spacing w:beforeLines="0" w:before="60" w:beforeAutospacing="0" w:afterLines="0" w:after="60" w:afterAutospacing="0" w:line="240" w:lineRule="auto"/>
        <w:ind w:leftChars="0" w:left="0" w:rightChars="0" w:right="0" w:firstLineChars="0" w:firstLine="0"/>
        <w:contextualSpacing w:val="0"/>
        <w:mirrorIndents w:val="0"/>
        <w:jc w:val="left"/>
        <w:outlineLvl w:val="9"/>
      </w:pPr>
      <w:rPr>
        <w:rFonts w:ascii="Arial" w:hAnsi="Arial"/>
        <w:b/>
        <w:sz w:val="22"/>
      </w:rPr>
      <w:tblPr/>
      <w:trPr>
        <w:tblHeader/>
      </w:trPr>
      <w:tcPr>
        <w:shd w:val="clear" w:color="auto" w:fill="D9D9D9" w:themeFill="background1" w:themeFillShade="D9"/>
      </w:tcPr>
    </w:tblStylePr>
    <w:tblStylePr w:type="lastRow">
      <w:rPr>
        <w:rFonts w:ascii="Arial" w:hAnsi="Arial"/>
        <w:sz w:val="22"/>
      </w:rPr>
    </w:tblStylePr>
    <w:tblStylePr w:type="firstCol">
      <w:rPr>
        <w:rFonts w:ascii="Arial" w:hAnsi="Arial"/>
        <w:sz w:val="22"/>
      </w:r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StylePr>
    <w:tblStylePr w:type="band1Horz">
      <w:rPr>
        <w:rFonts w:ascii="Arial" w:hAnsi="Arial"/>
        <w:sz w:val="22"/>
      </w:rPr>
    </w:tblStylePr>
    <w:tblStylePr w:type="band2Horz">
      <w:rPr>
        <w:rFonts w:ascii="Arial" w:hAnsi="Arial"/>
        <w:sz w:val="22"/>
      </w:r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paragraph" w:styleId="Caption">
    <w:name w:val="caption"/>
    <w:basedOn w:val="Normal"/>
    <w:next w:val="Normal"/>
    <w:uiPriority w:val="35"/>
    <w:unhideWhenUsed/>
    <w:rsid w:val="00F858F2"/>
    <w:rPr>
      <w:iCs/>
      <w:sz w:val="20"/>
      <w:szCs w:val="18"/>
    </w:rPr>
  </w:style>
  <w:style w:type="numbering" w:customStyle="1" w:styleId="NTGStandardNumList">
    <w:name w:val="NTG Standard Num List"/>
    <w:uiPriority w:val="99"/>
    <w:rsid w:val="004179BF"/>
    <w:pPr>
      <w:numPr>
        <w:numId w:val="12"/>
      </w:numPr>
    </w:pPr>
  </w:style>
  <w:style w:type="paragraph" w:styleId="BalloonText">
    <w:name w:val="Balloon Text"/>
    <w:basedOn w:val="Normal"/>
    <w:link w:val="BalloonTextChar"/>
    <w:uiPriority w:val="99"/>
    <w:semiHidden/>
    <w:unhideWhenUsed/>
    <w:rsid w:val="00495E0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5E04"/>
    <w:rPr>
      <w:rFonts w:ascii="Segoe UI" w:hAnsi="Segoe UI" w:cs="Segoe UI"/>
      <w:sz w:val="18"/>
      <w:szCs w:val="18"/>
    </w:rPr>
  </w:style>
  <w:style w:type="numbering" w:customStyle="1" w:styleId="NTGTableList">
    <w:name w:val="NTG Table List"/>
    <w:uiPriority w:val="99"/>
    <w:rsid w:val="00BE19E3"/>
    <w:pPr>
      <w:numPr>
        <w:numId w:val="21"/>
      </w:numPr>
    </w:pPr>
  </w:style>
  <w:style w:type="paragraph" w:customStyle="1" w:styleId="NTGTableBulletList1">
    <w:name w:val="NTG Table Bullet List 1"/>
    <w:semiHidden/>
    <w:qFormat/>
    <w:rsid w:val="00BE19E3"/>
    <w:pPr>
      <w:numPr>
        <w:numId w:val="22"/>
      </w:numPr>
      <w:spacing w:after="20"/>
    </w:pPr>
  </w:style>
  <w:style w:type="paragraph" w:customStyle="1" w:styleId="NTGTableBulletList2">
    <w:name w:val="NTG Table Bullet List 2"/>
    <w:basedOn w:val="NTGTableBulletList1"/>
    <w:semiHidden/>
    <w:qFormat/>
    <w:rsid w:val="00BE19E3"/>
    <w:pPr>
      <w:numPr>
        <w:ilvl w:val="1"/>
      </w:numPr>
    </w:pPr>
  </w:style>
  <w:style w:type="paragraph" w:customStyle="1" w:styleId="NTGTableBulletList3">
    <w:name w:val="NTG Table Bullet List 3"/>
    <w:basedOn w:val="NTGTableBulletList2"/>
    <w:semiHidden/>
    <w:qFormat/>
    <w:rsid w:val="00BE19E3"/>
    <w:pPr>
      <w:numPr>
        <w:ilvl w:val="2"/>
      </w:numPr>
    </w:pPr>
  </w:style>
  <w:style w:type="paragraph" w:customStyle="1" w:styleId="NTGTableBulletList4">
    <w:name w:val="NTG Table Bullet List 4"/>
    <w:basedOn w:val="NTGTableBulletList3"/>
    <w:semiHidden/>
    <w:qFormat/>
    <w:rsid w:val="00BE19E3"/>
    <w:pPr>
      <w:numPr>
        <w:ilvl w:val="3"/>
      </w:numPr>
    </w:pPr>
  </w:style>
  <w:style w:type="paragraph" w:customStyle="1" w:styleId="NTGTableBulletList5">
    <w:name w:val="NTG Table Bullet List 5"/>
    <w:basedOn w:val="NTGTableBulletList4"/>
    <w:semiHidden/>
    <w:qFormat/>
    <w:rsid w:val="00BE19E3"/>
    <w:pPr>
      <w:numPr>
        <w:ilvl w:val="4"/>
      </w:numPr>
    </w:pPr>
  </w:style>
  <w:style w:type="paragraph" w:customStyle="1" w:styleId="NTGTableBulletList6">
    <w:name w:val="NTG Table Bullet List 6"/>
    <w:basedOn w:val="NTGTableBulletList5"/>
    <w:semiHidden/>
    <w:qFormat/>
    <w:rsid w:val="00BE19E3"/>
    <w:pPr>
      <w:numPr>
        <w:ilvl w:val="5"/>
      </w:numPr>
    </w:pPr>
  </w:style>
  <w:style w:type="paragraph" w:customStyle="1" w:styleId="NTGTableBulletList7">
    <w:name w:val="NTG Table Bullet List 7"/>
    <w:basedOn w:val="NTGTableBulletList6"/>
    <w:semiHidden/>
    <w:qFormat/>
    <w:rsid w:val="00BE19E3"/>
    <w:pPr>
      <w:numPr>
        <w:ilvl w:val="6"/>
      </w:numPr>
    </w:pPr>
  </w:style>
  <w:style w:type="paragraph" w:customStyle="1" w:styleId="NTGTableBulletList8">
    <w:name w:val="NTG Table Bullet List 8"/>
    <w:basedOn w:val="NTGTableBulletList7"/>
    <w:semiHidden/>
    <w:qFormat/>
    <w:rsid w:val="00BE19E3"/>
    <w:pPr>
      <w:numPr>
        <w:ilvl w:val="7"/>
      </w:numPr>
    </w:pPr>
  </w:style>
  <w:style w:type="paragraph" w:customStyle="1" w:styleId="NTGTableBulletList9">
    <w:name w:val="NTG Table Bullet List 9"/>
    <w:basedOn w:val="NTGTableBulletList8"/>
    <w:semiHidden/>
    <w:qFormat/>
    <w:rsid w:val="00BE19E3"/>
    <w:pPr>
      <w:numPr>
        <w:ilvl w:val="8"/>
      </w:numPr>
    </w:pPr>
  </w:style>
  <w:style w:type="character" w:styleId="CommentReference">
    <w:name w:val="annotation reference"/>
    <w:basedOn w:val="DefaultParagraphFont"/>
    <w:unhideWhenUsed/>
    <w:rsid w:val="00324A78"/>
    <w:rPr>
      <w:sz w:val="16"/>
      <w:szCs w:val="16"/>
    </w:rPr>
  </w:style>
  <w:style w:type="character" w:customStyle="1" w:styleId="ListParagraphChar">
    <w:name w:val="List Paragraph Char"/>
    <w:aliases w:val="Level 1 bullet Char,Business Requirements Char,Bullet List Paragraph Char,Bullet Main Char,List Paragraph1 Char,List Paragraph11 Char,List Paragraph111 Char,L Char,F5 List Paragraph Char,Dot pt Char,CV text Char,List Paragraph2 Char"/>
    <w:basedOn w:val="DefaultParagraphFont"/>
    <w:link w:val="ListParagraph"/>
    <w:uiPriority w:val="34"/>
    <w:rsid w:val="00CD3B13"/>
    <w:rPr>
      <w:rFonts w:eastAsiaTheme="minorEastAsia"/>
      <w:iCs/>
    </w:rPr>
  </w:style>
  <w:style w:type="table" w:customStyle="1" w:styleId="NTGtable1">
    <w:name w:val="NTG table 1"/>
    <w:basedOn w:val="TableNormal"/>
    <w:uiPriority w:val="99"/>
    <w:rsid w:val="00CD3B13"/>
    <w:pPr>
      <w:spacing w:before="40" w:after="40"/>
    </w:pPr>
    <w:rPr>
      <w:rFonts w:ascii="Lato" w:hAnsi="Lato"/>
    </w:r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V w:val="single" w:sz="4" w:space="0" w:color="000000" w:themeColor="text1"/>
      </w:tblBorders>
    </w:tblPr>
    <w:tcPr>
      <w:vAlign w:val="center"/>
    </w:tcPr>
    <w:tblStylePr w:type="firstRow">
      <w:rPr>
        <w:b/>
      </w:rPr>
      <w:tblPr/>
      <w:trPr>
        <w:tblHeader/>
      </w:trPr>
      <w:tcPr>
        <w:shd w:val="clear" w:color="auto" w:fill="000000" w:themeFill="text1"/>
      </w:tcPr>
    </w:tblStylePr>
    <w:tblStylePr w:type="lastRow">
      <w:rPr>
        <w:b/>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blStylePr w:type="firstCol">
      <w:rPr>
        <w:b w:val="0"/>
      </w:rPr>
    </w:tblStylePr>
    <w:tblStylePr w:type="band2Horz">
      <w:tblPr/>
      <w:tcPr>
        <w:shd w:val="clear" w:color="auto" w:fill="D9D9D9" w:themeFill="background1" w:themeFillShade="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27222">
      <w:bodyDiv w:val="1"/>
      <w:marLeft w:val="0"/>
      <w:marRight w:val="0"/>
      <w:marTop w:val="0"/>
      <w:marBottom w:val="0"/>
      <w:divBdr>
        <w:top w:val="none" w:sz="0" w:space="0" w:color="auto"/>
        <w:left w:val="none" w:sz="0" w:space="0" w:color="auto"/>
        <w:bottom w:val="none" w:sz="0" w:space="0" w:color="auto"/>
        <w:right w:val="none" w:sz="0" w:space="0" w:color="auto"/>
      </w:divBdr>
    </w:div>
    <w:div w:id="17208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on.nt.gov.au/en/Legislation/NORTHERN-TERRITORY-TREASURY-CORPORATION-ACT-1994" TargetMode="External"/><Relationship Id="rId13" Type="http://schemas.openxmlformats.org/officeDocument/2006/relationships/hyperlink" Target="https://treasury.nt.gov.au/__data/assets/pdf_file/0018/481212/TD-A2.8.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aasb.gov.au/admin/file/content105/c9/AASB116_08-15_COMPdec16_01-19.pdf" TargetMode="External"/><Relationship Id="rId17" Type="http://schemas.openxmlformats.org/officeDocument/2006/relationships/hyperlink" Target="https://aasb.gov.au/admin/file/content105/c9/AASB9_12-14_COMPdec22_01-23.pdf" TargetMode="External"/><Relationship Id="rId2" Type="http://schemas.openxmlformats.org/officeDocument/2006/relationships/numbering" Target="numbering.xml"/><Relationship Id="rId16" Type="http://schemas.openxmlformats.org/officeDocument/2006/relationships/hyperlink" Target="https://aasb.gov.au/admin/file/content105/c9/AASB121_08-15_COMPmar20_07-21.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asb.gov.au/admin/file/content105/c9/AASB116_08-15_COMPdec22_01-23.pdf" TargetMode="External"/><Relationship Id="rId5" Type="http://schemas.openxmlformats.org/officeDocument/2006/relationships/webSettings" Target="webSettings.xml"/><Relationship Id="rId15" Type="http://schemas.openxmlformats.org/officeDocument/2006/relationships/hyperlink" Target="https://www.aasb.gov.au/admin/file/content105/c9/AASB102_07-15.pdf" TargetMode="External"/><Relationship Id="rId23" Type="http://schemas.openxmlformats.org/officeDocument/2006/relationships/theme" Target="theme/theme1.xml"/><Relationship Id="rId10" Type="http://schemas.openxmlformats.org/officeDocument/2006/relationships/hyperlink" Target="https://treasury.nt.gov.au/__data/assets/file/0007/711898/Treasurers-Direction-Equity-investments.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easury.nt.gov.au/__data/assets/file/0007/711898/Treasurers-Direction-Equity-investments.zip" TargetMode="External"/><Relationship Id="rId14" Type="http://schemas.openxmlformats.org/officeDocument/2006/relationships/hyperlink" Target="https://www.aasb.gov.au/admin/file/content105/c9/AASB136_07-04_COMPapr07_07-07.pd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ci\AppData\Local\Microsoft\Windows\Temporary%20Internet%20Files\Content.IE5\TT6Z7DPN\ntg-general-portrait-word-template%20(1).dotx" TargetMode="External"/></Relationships>
</file>

<file path=word/theme/theme1.xml><?xml version="1.0" encoding="utf-8"?>
<a:theme xmlns:a="http://schemas.openxmlformats.org/drawingml/2006/main" name="NTG branding">
  <a:themeElements>
    <a:clrScheme name="NTG Colours">
      <a:dk1>
        <a:sysClr val="windowText" lastClr="000000"/>
      </a:dk1>
      <a:lt1>
        <a:sysClr val="window" lastClr="FFFFFF"/>
      </a:lt1>
      <a:dk2>
        <a:srgbClr val="BC5915"/>
      </a:dk2>
      <a:lt2>
        <a:srgbClr val="FFFFFF"/>
      </a:lt2>
      <a:accent1>
        <a:srgbClr val="527AA1"/>
      </a:accent1>
      <a:accent2>
        <a:srgbClr val="77794B"/>
      </a:accent2>
      <a:accent3>
        <a:srgbClr val="6E7C00"/>
      </a:accent3>
      <a:accent4>
        <a:srgbClr val="8C4799"/>
      </a:accent4>
      <a:accent5>
        <a:srgbClr val="A26B21"/>
      </a:accent5>
      <a:accent6>
        <a:srgbClr val="BD472A"/>
      </a:accent6>
      <a:hlink>
        <a:srgbClr val="0563C1"/>
      </a:hlink>
      <a:folHlink>
        <a:srgbClr val="8C4799"/>
      </a:folHlink>
    </a:clrScheme>
    <a:fontScheme name="NTG Fon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4FFE20-5E81-4959-852F-184987B92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ntg-general-portrait-word-template (1).dotx</Template>
  <TotalTime>211</TotalTime>
  <Pages>3</Pages>
  <Words>1590</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Attachment A – Loss exclusions</vt:lpstr>
    </vt:vector>
  </TitlesOfParts>
  <Company>Northern Territory Government</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A – Loss exclusions</dc:title>
  <dc:creator>nlu</dc:creator>
  <cp:lastModifiedBy>Diana Gaerth</cp:lastModifiedBy>
  <cp:revision>32</cp:revision>
  <cp:lastPrinted>2024-02-14T03:38:00Z</cp:lastPrinted>
  <dcterms:created xsi:type="dcterms:W3CDTF">2023-03-27T02:35:00Z</dcterms:created>
  <dcterms:modified xsi:type="dcterms:W3CDTF">2024-05-28T04:53:00Z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1.0">
    <vt:lpwstr>Version 1.0</vt:lpwstr>
  </property>
</Properties>
</file>